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C2" w:rsidRPr="005F2D09" w:rsidRDefault="00F40625" w:rsidP="00B4674D">
      <w:pPr>
        <w:jc w:val="center"/>
        <w:rPr>
          <w:b/>
          <w:sz w:val="32"/>
          <w:szCs w:val="32"/>
        </w:rPr>
      </w:pPr>
      <w:r>
        <w:rPr>
          <w:rFonts w:hint="eastAsia"/>
          <w:b/>
          <w:sz w:val="32"/>
          <w:szCs w:val="32"/>
        </w:rPr>
        <w:t>缴费</w:t>
      </w:r>
      <w:r w:rsidR="005A3C8E">
        <w:rPr>
          <w:rFonts w:hint="eastAsia"/>
          <w:b/>
          <w:sz w:val="32"/>
          <w:szCs w:val="32"/>
        </w:rPr>
        <w:t>须知</w:t>
      </w:r>
    </w:p>
    <w:p w:rsidR="00AE1C37" w:rsidRPr="00316A90" w:rsidRDefault="00AE1C37" w:rsidP="00AE1C37">
      <w:pPr>
        <w:rPr>
          <w:b/>
          <w:sz w:val="28"/>
          <w:szCs w:val="28"/>
        </w:rPr>
      </w:pPr>
      <w:r w:rsidRPr="00316A90">
        <w:rPr>
          <w:rFonts w:hint="eastAsia"/>
          <w:b/>
          <w:sz w:val="28"/>
          <w:szCs w:val="28"/>
        </w:rPr>
        <w:t>一、学费</w:t>
      </w:r>
      <w:r w:rsidR="00B4674D" w:rsidRPr="00316A90">
        <w:rPr>
          <w:rFonts w:hint="eastAsia"/>
          <w:b/>
          <w:sz w:val="28"/>
          <w:szCs w:val="28"/>
        </w:rPr>
        <w:t>是</w:t>
      </w:r>
      <w:r w:rsidRPr="00316A90">
        <w:rPr>
          <w:rFonts w:hint="eastAsia"/>
          <w:b/>
          <w:sz w:val="28"/>
          <w:szCs w:val="28"/>
        </w:rPr>
        <w:t>依据</w:t>
      </w:r>
      <w:r w:rsidR="00B4674D" w:rsidRPr="00316A90">
        <w:rPr>
          <w:rFonts w:hint="eastAsia"/>
          <w:b/>
          <w:sz w:val="28"/>
          <w:szCs w:val="28"/>
        </w:rPr>
        <w:t>什么收缴的？</w:t>
      </w:r>
    </w:p>
    <w:p w:rsidR="00AE1C37" w:rsidRPr="00B4674D" w:rsidRDefault="00AE1C37" w:rsidP="00AE1C37">
      <w:pPr>
        <w:rPr>
          <w:sz w:val="24"/>
          <w:szCs w:val="24"/>
        </w:rPr>
      </w:pPr>
      <w:r w:rsidRPr="00B4674D">
        <w:rPr>
          <w:rFonts w:hint="eastAsia"/>
          <w:sz w:val="24"/>
          <w:szCs w:val="24"/>
        </w:rPr>
        <w:t>1</w:t>
      </w:r>
      <w:r w:rsidRPr="00B4674D">
        <w:rPr>
          <w:rFonts w:hint="eastAsia"/>
          <w:sz w:val="24"/>
          <w:szCs w:val="24"/>
        </w:rPr>
        <w:t>、《省物价局教育厅关于修订高校学分制收费管理办法的通知》鄂价费【</w:t>
      </w:r>
      <w:r w:rsidRPr="00B4674D">
        <w:rPr>
          <w:rFonts w:hint="eastAsia"/>
          <w:sz w:val="24"/>
          <w:szCs w:val="24"/>
        </w:rPr>
        <w:t>2006</w:t>
      </w:r>
      <w:r w:rsidRPr="00B4674D">
        <w:rPr>
          <w:rFonts w:hint="eastAsia"/>
          <w:sz w:val="24"/>
          <w:szCs w:val="24"/>
        </w:rPr>
        <w:t>】</w:t>
      </w:r>
      <w:r w:rsidRPr="00B4674D">
        <w:rPr>
          <w:rFonts w:hint="eastAsia"/>
          <w:sz w:val="24"/>
          <w:szCs w:val="24"/>
        </w:rPr>
        <w:t>183</w:t>
      </w:r>
      <w:r w:rsidRPr="00B4674D">
        <w:rPr>
          <w:rFonts w:hint="eastAsia"/>
          <w:sz w:val="24"/>
          <w:szCs w:val="24"/>
        </w:rPr>
        <w:t>号；</w:t>
      </w:r>
    </w:p>
    <w:p w:rsidR="00AE1C37" w:rsidRPr="00B4674D" w:rsidRDefault="00AE1C37" w:rsidP="00AE1C37">
      <w:pPr>
        <w:rPr>
          <w:sz w:val="24"/>
          <w:szCs w:val="24"/>
        </w:rPr>
      </w:pPr>
      <w:r w:rsidRPr="00B4674D">
        <w:rPr>
          <w:rFonts w:hint="eastAsia"/>
          <w:sz w:val="24"/>
          <w:szCs w:val="24"/>
        </w:rPr>
        <w:t>2</w:t>
      </w:r>
      <w:r w:rsidRPr="00B4674D">
        <w:rPr>
          <w:rFonts w:hint="eastAsia"/>
          <w:sz w:val="24"/>
          <w:szCs w:val="24"/>
        </w:rPr>
        <w:t>、《省物价局省教育厅关于取消收费许可证制度加强高校收费管理有关问题的通知》鄂价费【</w:t>
      </w:r>
      <w:r w:rsidRPr="00B4674D">
        <w:rPr>
          <w:rFonts w:hint="eastAsia"/>
          <w:sz w:val="24"/>
          <w:szCs w:val="24"/>
        </w:rPr>
        <w:t>2015</w:t>
      </w:r>
      <w:r w:rsidRPr="00B4674D">
        <w:rPr>
          <w:rFonts w:hint="eastAsia"/>
          <w:sz w:val="24"/>
          <w:szCs w:val="24"/>
        </w:rPr>
        <w:t>】</w:t>
      </w:r>
      <w:r w:rsidRPr="00B4674D">
        <w:rPr>
          <w:rFonts w:hint="eastAsia"/>
          <w:sz w:val="24"/>
          <w:szCs w:val="24"/>
        </w:rPr>
        <w:t>16</w:t>
      </w:r>
      <w:r w:rsidRPr="00B4674D">
        <w:rPr>
          <w:rFonts w:hint="eastAsia"/>
          <w:sz w:val="24"/>
          <w:szCs w:val="24"/>
        </w:rPr>
        <w:t>号；</w:t>
      </w:r>
      <w:r w:rsidRPr="00B4674D">
        <w:rPr>
          <w:rFonts w:hint="eastAsia"/>
          <w:sz w:val="24"/>
          <w:szCs w:val="24"/>
        </w:rPr>
        <w:t xml:space="preserve"> </w:t>
      </w:r>
    </w:p>
    <w:p w:rsidR="00AE1C37" w:rsidRPr="00B4674D" w:rsidRDefault="00AE1C37" w:rsidP="00AE1C37">
      <w:pPr>
        <w:rPr>
          <w:sz w:val="24"/>
          <w:szCs w:val="24"/>
        </w:rPr>
      </w:pPr>
      <w:r w:rsidRPr="00B4674D">
        <w:rPr>
          <w:rFonts w:hint="eastAsia"/>
          <w:sz w:val="24"/>
          <w:szCs w:val="24"/>
        </w:rPr>
        <w:t>3</w:t>
      </w:r>
      <w:r w:rsidRPr="00B4674D">
        <w:rPr>
          <w:rFonts w:hint="eastAsia"/>
          <w:sz w:val="24"/>
          <w:szCs w:val="24"/>
        </w:rPr>
        <w:t>、《国家发展改革委关于取消收费许可证制度加强事中事后监管的通知》鄂价费【</w:t>
      </w:r>
      <w:r w:rsidRPr="00B4674D">
        <w:rPr>
          <w:rFonts w:hint="eastAsia"/>
          <w:sz w:val="24"/>
          <w:szCs w:val="24"/>
        </w:rPr>
        <w:t>2015</w:t>
      </w:r>
      <w:r w:rsidRPr="00B4674D">
        <w:rPr>
          <w:rFonts w:hint="eastAsia"/>
          <w:sz w:val="24"/>
          <w:szCs w:val="24"/>
        </w:rPr>
        <w:t>】</w:t>
      </w:r>
      <w:r w:rsidRPr="00B4674D">
        <w:rPr>
          <w:rFonts w:hint="eastAsia"/>
          <w:sz w:val="24"/>
          <w:szCs w:val="24"/>
        </w:rPr>
        <w:t>16</w:t>
      </w:r>
      <w:r w:rsidRPr="00B4674D">
        <w:rPr>
          <w:rFonts w:hint="eastAsia"/>
          <w:sz w:val="24"/>
          <w:szCs w:val="24"/>
        </w:rPr>
        <w:t>号；</w:t>
      </w:r>
      <w:r w:rsidRPr="00B4674D">
        <w:rPr>
          <w:rFonts w:hint="eastAsia"/>
          <w:sz w:val="24"/>
          <w:szCs w:val="24"/>
        </w:rPr>
        <w:t xml:space="preserve"> </w:t>
      </w:r>
    </w:p>
    <w:p w:rsidR="00AE1C37" w:rsidRPr="00B4674D" w:rsidRDefault="00AE1C37" w:rsidP="00AE1C37">
      <w:pPr>
        <w:rPr>
          <w:sz w:val="24"/>
          <w:szCs w:val="24"/>
        </w:rPr>
      </w:pPr>
      <w:r w:rsidRPr="00B4674D">
        <w:rPr>
          <w:rFonts w:hint="eastAsia"/>
          <w:sz w:val="24"/>
          <w:szCs w:val="24"/>
        </w:rPr>
        <w:t>4</w:t>
      </w:r>
      <w:r w:rsidRPr="00B4674D">
        <w:rPr>
          <w:rFonts w:hint="eastAsia"/>
          <w:sz w:val="24"/>
          <w:szCs w:val="24"/>
        </w:rPr>
        <w:t>、关于取消收费许可证制度加强事中事后监管的补充通知》鄂价费【</w:t>
      </w:r>
      <w:r w:rsidRPr="00B4674D">
        <w:rPr>
          <w:rFonts w:hint="eastAsia"/>
          <w:sz w:val="24"/>
          <w:szCs w:val="24"/>
        </w:rPr>
        <w:t>2015</w:t>
      </w:r>
      <w:r w:rsidRPr="00B4674D">
        <w:rPr>
          <w:rFonts w:hint="eastAsia"/>
          <w:sz w:val="24"/>
          <w:szCs w:val="24"/>
        </w:rPr>
        <w:t>】</w:t>
      </w:r>
      <w:r w:rsidRPr="00B4674D">
        <w:rPr>
          <w:rFonts w:hint="eastAsia"/>
          <w:sz w:val="24"/>
          <w:szCs w:val="24"/>
        </w:rPr>
        <w:t>33</w:t>
      </w:r>
      <w:r w:rsidRPr="00B4674D">
        <w:rPr>
          <w:rFonts w:hint="eastAsia"/>
          <w:sz w:val="24"/>
          <w:szCs w:val="24"/>
        </w:rPr>
        <w:t>号；</w:t>
      </w:r>
      <w:r w:rsidRPr="00B4674D">
        <w:rPr>
          <w:rFonts w:hint="eastAsia"/>
          <w:sz w:val="24"/>
          <w:szCs w:val="24"/>
        </w:rPr>
        <w:t xml:space="preserve"> </w:t>
      </w:r>
    </w:p>
    <w:p w:rsidR="00AE1C37" w:rsidRPr="00B4674D" w:rsidRDefault="00AE1C37" w:rsidP="00AE1C37">
      <w:pPr>
        <w:rPr>
          <w:sz w:val="24"/>
          <w:szCs w:val="24"/>
        </w:rPr>
      </w:pPr>
      <w:r w:rsidRPr="00B4674D">
        <w:rPr>
          <w:rFonts w:hint="eastAsia"/>
          <w:sz w:val="24"/>
          <w:szCs w:val="24"/>
        </w:rPr>
        <w:t>5</w:t>
      </w:r>
      <w:r w:rsidRPr="00B4674D">
        <w:rPr>
          <w:rFonts w:hint="eastAsia"/>
          <w:sz w:val="24"/>
          <w:szCs w:val="24"/>
        </w:rPr>
        <w:t>、</w:t>
      </w:r>
      <w:r w:rsidRPr="00B4674D">
        <w:rPr>
          <w:rFonts w:hint="eastAsia"/>
          <w:sz w:val="24"/>
          <w:szCs w:val="24"/>
        </w:rPr>
        <w:t xml:space="preserve"> </w:t>
      </w:r>
      <w:r w:rsidRPr="00B4674D">
        <w:rPr>
          <w:rFonts w:hint="eastAsia"/>
          <w:sz w:val="24"/>
          <w:szCs w:val="24"/>
        </w:rPr>
        <w:t>《省物价局省教育厅关于取消收费许可证制度加强高校收费管理有关问题的通知》</w:t>
      </w:r>
      <w:r w:rsidRPr="00B4674D">
        <w:rPr>
          <w:rFonts w:hint="eastAsia"/>
          <w:sz w:val="24"/>
          <w:szCs w:val="24"/>
        </w:rPr>
        <w:t>2018-9-18</w:t>
      </w:r>
    </w:p>
    <w:p w:rsidR="00AE1C37" w:rsidRPr="00FC0E66" w:rsidRDefault="00FC0E66" w:rsidP="00835BDC">
      <w:pPr>
        <w:rPr>
          <w:sz w:val="24"/>
          <w:szCs w:val="24"/>
        </w:rPr>
      </w:pPr>
      <w:r>
        <w:rPr>
          <w:rFonts w:hint="eastAsia"/>
          <w:sz w:val="24"/>
          <w:szCs w:val="24"/>
        </w:rPr>
        <w:t>6</w:t>
      </w:r>
      <w:r>
        <w:rPr>
          <w:rFonts w:hint="eastAsia"/>
          <w:sz w:val="24"/>
          <w:szCs w:val="24"/>
        </w:rPr>
        <w:t>、校财字【</w:t>
      </w:r>
      <w:r>
        <w:rPr>
          <w:rFonts w:hint="eastAsia"/>
          <w:sz w:val="24"/>
          <w:szCs w:val="24"/>
        </w:rPr>
        <w:t>2020</w:t>
      </w:r>
      <w:r>
        <w:rPr>
          <w:rFonts w:hint="eastAsia"/>
          <w:sz w:val="24"/>
          <w:szCs w:val="24"/>
        </w:rPr>
        <w:t>】</w:t>
      </w:r>
      <w:r>
        <w:rPr>
          <w:rFonts w:hint="eastAsia"/>
          <w:sz w:val="24"/>
          <w:szCs w:val="24"/>
        </w:rPr>
        <w:t>6</w:t>
      </w:r>
      <w:r>
        <w:rPr>
          <w:rFonts w:hint="eastAsia"/>
          <w:sz w:val="24"/>
          <w:szCs w:val="24"/>
        </w:rPr>
        <w:t>号</w:t>
      </w:r>
    </w:p>
    <w:tbl>
      <w:tblPr>
        <w:tblW w:w="8640" w:type="dxa"/>
        <w:tblInd w:w="93" w:type="dxa"/>
        <w:tblLayout w:type="fixed"/>
        <w:tblLook w:val="04A0"/>
      </w:tblPr>
      <w:tblGrid>
        <w:gridCol w:w="703"/>
        <w:gridCol w:w="1436"/>
        <w:gridCol w:w="144"/>
        <w:gridCol w:w="989"/>
        <w:gridCol w:w="850"/>
        <w:gridCol w:w="1280"/>
        <w:gridCol w:w="136"/>
        <w:gridCol w:w="1281"/>
        <w:gridCol w:w="709"/>
        <w:gridCol w:w="1112"/>
      </w:tblGrid>
      <w:tr w:rsidR="00835BDC" w:rsidTr="00062736">
        <w:trPr>
          <w:trHeight w:val="585"/>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BBF" w:rsidRDefault="00046BBF">
            <w:pPr>
              <w:jc w:val="center"/>
              <w:rPr>
                <w:rFonts w:ascii="仿宋" w:eastAsia="仿宋" w:hAnsi="仿宋" w:cs="宋体"/>
                <w:b/>
                <w:bCs/>
                <w:color w:val="000000"/>
                <w:sz w:val="24"/>
                <w:szCs w:val="24"/>
              </w:rPr>
            </w:pPr>
            <w:r>
              <w:rPr>
                <w:rFonts w:ascii="仿宋" w:eastAsia="仿宋" w:hAnsi="仿宋" w:hint="eastAsia"/>
                <w:b/>
                <w:bCs/>
                <w:color w:val="000000"/>
              </w:rPr>
              <w:t>收费类别</w:t>
            </w:r>
          </w:p>
        </w:tc>
        <w:tc>
          <w:tcPr>
            <w:tcW w:w="1436" w:type="dxa"/>
            <w:tcBorders>
              <w:top w:val="single" w:sz="4" w:space="0" w:color="auto"/>
              <w:left w:val="nil"/>
              <w:bottom w:val="nil"/>
              <w:right w:val="single" w:sz="4" w:space="0" w:color="auto"/>
            </w:tcBorders>
            <w:shd w:val="clear" w:color="auto" w:fill="auto"/>
            <w:vAlign w:val="center"/>
            <w:hideMark/>
          </w:tcPr>
          <w:p w:rsidR="00046BBF" w:rsidRDefault="00046BBF">
            <w:pPr>
              <w:jc w:val="center"/>
              <w:rPr>
                <w:rFonts w:ascii="仿宋" w:eastAsia="仿宋" w:hAnsi="仿宋" w:cs="宋体"/>
                <w:b/>
                <w:bCs/>
                <w:color w:val="000000"/>
                <w:sz w:val="24"/>
                <w:szCs w:val="24"/>
              </w:rPr>
            </w:pPr>
            <w:r>
              <w:rPr>
                <w:rFonts w:ascii="仿宋" w:eastAsia="仿宋" w:hAnsi="仿宋" w:hint="eastAsia"/>
                <w:b/>
                <w:bCs/>
                <w:color w:val="000000"/>
              </w:rPr>
              <w:t>收费项目</w:t>
            </w:r>
          </w:p>
        </w:tc>
        <w:tc>
          <w:tcPr>
            <w:tcW w:w="1133" w:type="dxa"/>
            <w:gridSpan w:val="2"/>
            <w:tcBorders>
              <w:top w:val="single" w:sz="4" w:space="0" w:color="auto"/>
              <w:left w:val="nil"/>
              <w:bottom w:val="nil"/>
              <w:right w:val="single" w:sz="4" w:space="0" w:color="auto"/>
            </w:tcBorders>
            <w:shd w:val="clear" w:color="auto" w:fill="auto"/>
            <w:vAlign w:val="center"/>
            <w:hideMark/>
          </w:tcPr>
          <w:p w:rsidR="00046BBF" w:rsidRDefault="00046BBF">
            <w:pPr>
              <w:jc w:val="center"/>
              <w:rPr>
                <w:rFonts w:ascii="仿宋" w:eastAsia="仿宋" w:hAnsi="仿宋" w:cs="宋体"/>
                <w:b/>
                <w:bCs/>
                <w:color w:val="000000"/>
                <w:sz w:val="24"/>
                <w:szCs w:val="24"/>
              </w:rPr>
            </w:pPr>
            <w:r>
              <w:rPr>
                <w:rFonts w:ascii="仿宋" w:eastAsia="仿宋" w:hAnsi="仿宋" w:hint="eastAsia"/>
                <w:b/>
                <w:bCs/>
                <w:color w:val="000000"/>
              </w:rPr>
              <w:t>收取对象</w:t>
            </w:r>
          </w:p>
        </w:tc>
        <w:tc>
          <w:tcPr>
            <w:tcW w:w="850" w:type="dxa"/>
            <w:tcBorders>
              <w:top w:val="single" w:sz="4" w:space="0" w:color="auto"/>
              <w:left w:val="nil"/>
              <w:bottom w:val="nil"/>
              <w:right w:val="single" w:sz="4" w:space="0" w:color="auto"/>
            </w:tcBorders>
            <w:shd w:val="clear" w:color="auto" w:fill="auto"/>
            <w:vAlign w:val="center"/>
            <w:hideMark/>
          </w:tcPr>
          <w:p w:rsidR="00046BBF" w:rsidRDefault="00046BBF">
            <w:pPr>
              <w:jc w:val="center"/>
              <w:rPr>
                <w:rFonts w:ascii="仿宋" w:eastAsia="仿宋" w:hAnsi="仿宋" w:cs="宋体"/>
                <w:b/>
                <w:bCs/>
                <w:color w:val="000000"/>
                <w:sz w:val="24"/>
                <w:szCs w:val="24"/>
              </w:rPr>
            </w:pPr>
            <w:r>
              <w:rPr>
                <w:rFonts w:ascii="仿宋" w:eastAsia="仿宋" w:hAnsi="仿宋" w:hint="eastAsia"/>
                <w:b/>
                <w:bCs/>
                <w:color w:val="000000"/>
              </w:rPr>
              <w:t>计费单位</w:t>
            </w:r>
          </w:p>
        </w:tc>
        <w:tc>
          <w:tcPr>
            <w:tcW w:w="1416" w:type="dxa"/>
            <w:gridSpan w:val="2"/>
            <w:tcBorders>
              <w:top w:val="single" w:sz="4" w:space="0" w:color="auto"/>
              <w:left w:val="nil"/>
              <w:bottom w:val="nil"/>
              <w:right w:val="single" w:sz="4" w:space="0" w:color="auto"/>
            </w:tcBorders>
            <w:shd w:val="clear" w:color="auto" w:fill="auto"/>
            <w:vAlign w:val="center"/>
            <w:hideMark/>
          </w:tcPr>
          <w:p w:rsidR="00046BBF" w:rsidRDefault="00046BBF">
            <w:pPr>
              <w:jc w:val="center"/>
              <w:rPr>
                <w:rFonts w:ascii="仿宋" w:eastAsia="仿宋" w:hAnsi="仿宋" w:cs="宋体"/>
                <w:b/>
                <w:bCs/>
                <w:color w:val="000000"/>
                <w:sz w:val="24"/>
                <w:szCs w:val="24"/>
              </w:rPr>
            </w:pPr>
            <w:r>
              <w:rPr>
                <w:rFonts w:ascii="仿宋" w:eastAsia="仿宋" w:hAnsi="仿宋" w:hint="eastAsia"/>
                <w:b/>
                <w:bCs/>
                <w:color w:val="000000"/>
              </w:rPr>
              <w:t>收费标准</w:t>
            </w:r>
          </w:p>
        </w:tc>
        <w:tc>
          <w:tcPr>
            <w:tcW w:w="1281" w:type="dxa"/>
            <w:tcBorders>
              <w:top w:val="single" w:sz="4" w:space="0" w:color="auto"/>
              <w:left w:val="nil"/>
              <w:bottom w:val="nil"/>
              <w:right w:val="single" w:sz="4" w:space="0" w:color="auto"/>
            </w:tcBorders>
            <w:shd w:val="clear" w:color="auto" w:fill="auto"/>
            <w:vAlign w:val="center"/>
            <w:hideMark/>
          </w:tcPr>
          <w:p w:rsidR="00046BBF" w:rsidRDefault="00046BBF">
            <w:pPr>
              <w:jc w:val="center"/>
              <w:rPr>
                <w:rFonts w:ascii="仿宋" w:eastAsia="仿宋" w:hAnsi="仿宋" w:cs="宋体"/>
                <w:b/>
                <w:bCs/>
                <w:color w:val="000000"/>
                <w:sz w:val="24"/>
                <w:szCs w:val="24"/>
              </w:rPr>
            </w:pPr>
            <w:r>
              <w:rPr>
                <w:rFonts w:ascii="仿宋" w:eastAsia="仿宋" w:hAnsi="仿宋" w:hint="eastAsia"/>
                <w:b/>
                <w:bCs/>
                <w:color w:val="000000"/>
              </w:rPr>
              <w:t>收费依据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46BBF" w:rsidRDefault="00046BBF">
            <w:pPr>
              <w:jc w:val="center"/>
              <w:rPr>
                <w:rFonts w:ascii="仿宋" w:eastAsia="仿宋" w:hAnsi="仿宋" w:cs="宋体"/>
                <w:b/>
                <w:bCs/>
                <w:color w:val="000000"/>
                <w:sz w:val="24"/>
                <w:szCs w:val="24"/>
              </w:rPr>
            </w:pPr>
            <w:r>
              <w:rPr>
                <w:rFonts w:ascii="仿宋" w:eastAsia="仿宋" w:hAnsi="仿宋" w:hint="eastAsia"/>
                <w:b/>
                <w:bCs/>
                <w:color w:val="000000"/>
              </w:rPr>
              <w:t>执行时间</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046BBF" w:rsidRDefault="00046BBF">
            <w:pPr>
              <w:jc w:val="center"/>
              <w:rPr>
                <w:rFonts w:ascii="仿宋" w:eastAsia="仿宋" w:hAnsi="仿宋" w:cs="宋体"/>
                <w:b/>
                <w:bCs/>
                <w:color w:val="000000"/>
                <w:sz w:val="24"/>
                <w:szCs w:val="24"/>
              </w:rPr>
            </w:pPr>
            <w:r>
              <w:rPr>
                <w:rFonts w:ascii="仿宋" w:eastAsia="仿宋" w:hAnsi="仿宋" w:hint="eastAsia"/>
                <w:b/>
                <w:bCs/>
                <w:color w:val="000000"/>
              </w:rPr>
              <w:t>备注</w:t>
            </w:r>
          </w:p>
        </w:tc>
      </w:tr>
      <w:tr w:rsidR="00D4356A" w:rsidTr="00876DF7">
        <w:trPr>
          <w:trHeight w:val="315"/>
        </w:trPr>
        <w:tc>
          <w:tcPr>
            <w:tcW w:w="703" w:type="dxa"/>
            <w:vMerge w:val="restart"/>
            <w:tcBorders>
              <w:top w:val="nil"/>
              <w:left w:val="single" w:sz="4" w:space="0" w:color="auto"/>
              <w:right w:val="nil"/>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.网络及函授教育学费</w:t>
            </w:r>
          </w:p>
        </w:tc>
        <w:tc>
          <w:tcPr>
            <w:tcW w:w="6116"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D4356A" w:rsidRPr="00D4356A" w:rsidRDefault="00D4356A" w:rsidP="00D4356A">
            <w:pPr>
              <w:rPr>
                <w:rFonts w:ascii="仿宋" w:eastAsia="仿宋" w:hAnsi="仿宋" w:cs="宋体"/>
                <w:b/>
                <w:bCs/>
                <w:color w:val="000000"/>
                <w:sz w:val="20"/>
                <w:szCs w:val="20"/>
              </w:rPr>
            </w:pPr>
            <w:r>
              <w:rPr>
                <w:rFonts w:ascii="仿宋" w:eastAsia="仿宋" w:hAnsi="仿宋" w:hint="eastAsia"/>
                <w:b/>
                <w:bCs/>
                <w:color w:val="000000"/>
                <w:sz w:val="20"/>
                <w:szCs w:val="20"/>
              </w:rPr>
              <w:t>网络教育学费(业余)</w:t>
            </w:r>
          </w:p>
        </w:tc>
        <w:tc>
          <w:tcPr>
            <w:tcW w:w="709" w:type="dxa"/>
            <w:vMerge w:val="restart"/>
            <w:tcBorders>
              <w:top w:val="single" w:sz="8" w:space="0" w:color="auto"/>
              <w:left w:val="single" w:sz="4" w:space="0" w:color="auto"/>
              <w:right w:val="single" w:sz="4" w:space="0" w:color="auto"/>
            </w:tcBorders>
            <w:shd w:val="clear" w:color="auto" w:fill="auto"/>
            <w:vAlign w:val="center"/>
          </w:tcPr>
          <w:p w:rsidR="00D4356A" w:rsidRPr="00D4356A" w:rsidRDefault="00D4356A" w:rsidP="004B0785">
            <w:pPr>
              <w:jc w:val="center"/>
              <w:rPr>
                <w:rFonts w:ascii="仿宋" w:eastAsia="仿宋" w:hAnsi="仿宋" w:cs="宋体"/>
                <w:b/>
                <w:bCs/>
                <w:color w:val="000000"/>
                <w:sz w:val="20"/>
                <w:szCs w:val="20"/>
              </w:rPr>
            </w:pPr>
            <w:r>
              <w:rPr>
                <w:rFonts w:hint="eastAsia"/>
                <w:b/>
                <w:bCs/>
                <w:color w:val="000000"/>
                <w:sz w:val="20"/>
                <w:szCs w:val="20"/>
              </w:rPr>
              <w:t>2019.09-2020.07</w:t>
            </w:r>
          </w:p>
        </w:tc>
        <w:tc>
          <w:tcPr>
            <w:tcW w:w="1112" w:type="dxa"/>
            <w:tcBorders>
              <w:top w:val="single" w:sz="8" w:space="0" w:color="auto"/>
              <w:left w:val="single" w:sz="4" w:space="0" w:color="auto"/>
              <w:bottom w:val="single" w:sz="4" w:space="0" w:color="auto"/>
              <w:right w:val="single" w:sz="4" w:space="0" w:color="auto"/>
            </w:tcBorders>
            <w:shd w:val="clear" w:color="auto" w:fill="auto"/>
            <w:vAlign w:val="center"/>
          </w:tcPr>
          <w:p w:rsidR="00D4356A" w:rsidRPr="00D4356A" w:rsidRDefault="00D4356A" w:rsidP="00D4356A">
            <w:pPr>
              <w:rPr>
                <w:rFonts w:ascii="仿宋" w:eastAsia="仿宋" w:hAnsi="仿宋" w:cs="宋体"/>
                <w:b/>
                <w:bCs/>
                <w:color w:val="000000"/>
                <w:sz w:val="20"/>
                <w:szCs w:val="20"/>
              </w:rPr>
            </w:pPr>
          </w:p>
        </w:tc>
      </w:tr>
      <w:tr w:rsidR="00D4356A" w:rsidTr="00062736">
        <w:trPr>
          <w:trHeight w:val="720"/>
        </w:trPr>
        <w:tc>
          <w:tcPr>
            <w:tcW w:w="703" w:type="dxa"/>
            <w:vMerge/>
            <w:tcBorders>
              <w:left w:val="single" w:sz="4" w:space="0" w:color="auto"/>
              <w:right w:val="nil"/>
            </w:tcBorders>
            <w:vAlign w:val="center"/>
            <w:hideMark/>
          </w:tcPr>
          <w:p w:rsidR="00D4356A" w:rsidRDefault="00D4356A">
            <w:pPr>
              <w:rPr>
                <w:rFonts w:ascii="仿宋" w:eastAsia="仿宋" w:hAnsi="仿宋" w:cs="宋体"/>
                <w:b/>
                <w:bCs/>
                <w:color w:val="000000"/>
                <w:sz w:val="20"/>
                <w:szCs w:val="20"/>
              </w:rPr>
            </w:pPr>
          </w:p>
        </w:tc>
        <w:tc>
          <w:tcPr>
            <w:tcW w:w="1580" w:type="dxa"/>
            <w:gridSpan w:val="2"/>
            <w:tcBorders>
              <w:top w:val="nil"/>
              <w:left w:val="single" w:sz="8" w:space="0" w:color="auto"/>
              <w:bottom w:val="single" w:sz="4"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专科生学费</w:t>
            </w:r>
          </w:p>
        </w:tc>
        <w:tc>
          <w:tcPr>
            <w:tcW w:w="989" w:type="dxa"/>
            <w:tcBorders>
              <w:top w:val="nil"/>
              <w:left w:val="nil"/>
              <w:bottom w:val="single" w:sz="4" w:space="0" w:color="auto"/>
              <w:right w:val="single" w:sz="4" w:space="0" w:color="auto"/>
            </w:tcBorders>
            <w:shd w:val="clear" w:color="auto" w:fill="auto"/>
            <w:noWrap/>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2016级秋前</w:t>
            </w:r>
          </w:p>
        </w:tc>
        <w:tc>
          <w:tcPr>
            <w:tcW w:w="850" w:type="dxa"/>
            <w:tcBorders>
              <w:top w:val="nil"/>
              <w:left w:val="nil"/>
              <w:bottom w:val="single" w:sz="4"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元/生.年</w:t>
            </w:r>
          </w:p>
        </w:tc>
        <w:tc>
          <w:tcPr>
            <w:tcW w:w="1280" w:type="dxa"/>
            <w:tcBorders>
              <w:top w:val="nil"/>
              <w:left w:val="nil"/>
              <w:bottom w:val="single" w:sz="4"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1800-3000</w:t>
            </w:r>
          </w:p>
        </w:tc>
        <w:tc>
          <w:tcPr>
            <w:tcW w:w="1417" w:type="dxa"/>
            <w:gridSpan w:val="2"/>
            <w:tcBorders>
              <w:top w:val="nil"/>
              <w:left w:val="nil"/>
              <w:bottom w:val="single" w:sz="4"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鄂价费[2006]183号</w:t>
            </w:r>
          </w:p>
        </w:tc>
        <w:tc>
          <w:tcPr>
            <w:tcW w:w="709" w:type="dxa"/>
            <w:vMerge/>
            <w:tcBorders>
              <w:left w:val="single" w:sz="4" w:space="0" w:color="auto"/>
              <w:right w:val="single" w:sz="4" w:space="0" w:color="auto"/>
            </w:tcBorders>
            <w:shd w:val="clear" w:color="auto" w:fill="auto"/>
            <w:vAlign w:val="center"/>
            <w:hideMark/>
          </w:tcPr>
          <w:p w:rsidR="00D4356A" w:rsidRDefault="00D4356A">
            <w:pPr>
              <w:jc w:val="center"/>
              <w:rPr>
                <w:rFonts w:ascii="宋体" w:eastAsia="宋体" w:hAnsi="宋体" w:cs="宋体"/>
                <w:b/>
                <w:bCs/>
                <w:color w:val="000000"/>
                <w:sz w:val="20"/>
                <w:szCs w:val="20"/>
              </w:rPr>
            </w:pPr>
          </w:p>
        </w:tc>
        <w:tc>
          <w:tcPr>
            <w:tcW w:w="1112" w:type="dxa"/>
            <w:tcBorders>
              <w:top w:val="nil"/>
              <w:left w:val="nil"/>
              <w:bottom w:val="single" w:sz="4" w:space="0" w:color="auto"/>
              <w:right w:val="single" w:sz="4" w:space="0" w:color="auto"/>
            </w:tcBorders>
            <w:shd w:val="clear" w:color="auto" w:fill="auto"/>
            <w:noWrap/>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 xml:space="preserve">　</w:t>
            </w:r>
          </w:p>
        </w:tc>
      </w:tr>
      <w:tr w:rsidR="00D4356A" w:rsidTr="00062736">
        <w:trPr>
          <w:trHeight w:val="720"/>
        </w:trPr>
        <w:tc>
          <w:tcPr>
            <w:tcW w:w="703" w:type="dxa"/>
            <w:vMerge/>
            <w:tcBorders>
              <w:left w:val="single" w:sz="4" w:space="0" w:color="auto"/>
              <w:right w:val="nil"/>
            </w:tcBorders>
            <w:vAlign w:val="center"/>
            <w:hideMark/>
          </w:tcPr>
          <w:p w:rsidR="00D4356A" w:rsidRDefault="00D4356A">
            <w:pPr>
              <w:rPr>
                <w:rFonts w:ascii="仿宋" w:eastAsia="仿宋" w:hAnsi="仿宋" w:cs="宋体"/>
                <w:b/>
                <w:bCs/>
                <w:color w:val="000000"/>
                <w:sz w:val="20"/>
                <w:szCs w:val="20"/>
              </w:rPr>
            </w:pPr>
          </w:p>
        </w:tc>
        <w:tc>
          <w:tcPr>
            <w:tcW w:w="1580" w:type="dxa"/>
            <w:gridSpan w:val="2"/>
            <w:tcBorders>
              <w:top w:val="nil"/>
              <w:left w:val="single" w:sz="8" w:space="0" w:color="auto"/>
              <w:bottom w:val="single" w:sz="4"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专升本科生学费</w:t>
            </w:r>
          </w:p>
        </w:tc>
        <w:tc>
          <w:tcPr>
            <w:tcW w:w="989" w:type="dxa"/>
            <w:tcBorders>
              <w:top w:val="nil"/>
              <w:left w:val="nil"/>
              <w:bottom w:val="single" w:sz="4" w:space="0" w:color="auto"/>
              <w:right w:val="single" w:sz="4" w:space="0" w:color="auto"/>
            </w:tcBorders>
            <w:shd w:val="clear" w:color="auto" w:fill="auto"/>
            <w:noWrap/>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2016级秋前</w:t>
            </w:r>
          </w:p>
        </w:tc>
        <w:tc>
          <w:tcPr>
            <w:tcW w:w="850" w:type="dxa"/>
            <w:tcBorders>
              <w:top w:val="nil"/>
              <w:left w:val="nil"/>
              <w:bottom w:val="single" w:sz="4"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元/生.年</w:t>
            </w:r>
          </w:p>
        </w:tc>
        <w:tc>
          <w:tcPr>
            <w:tcW w:w="1280" w:type="dxa"/>
            <w:tcBorders>
              <w:top w:val="nil"/>
              <w:left w:val="nil"/>
              <w:bottom w:val="single" w:sz="4"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2250-3500</w:t>
            </w:r>
          </w:p>
        </w:tc>
        <w:tc>
          <w:tcPr>
            <w:tcW w:w="1417" w:type="dxa"/>
            <w:gridSpan w:val="2"/>
            <w:tcBorders>
              <w:top w:val="nil"/>
              <w:left w:val="nil"/>
              <w:bottom w:val="single" w:sz="4"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鄂价费[2006]183号</w:t>
            </w:r>
          </w:p>
        </w:tc>
        <w:tc>
          <w:tcPr>
            <w:tcW w:w="709" w:type="dxa"/>
            <w:vMerge/>
            <w:tcBorders>
              <w:left w:val="single" w:sz="4" w:space="0" w:color="auto"/>
              <w:right w:val="single" w:sz="4" w:space="0" w:color="auto"/>
            </w:tcBorders>
            <w:vAlign w:val="center"/>
            <w:hideMark/>
          </w:tcPr>
          <w:p w:rsidR="00D4356A" w:rsidRDefault="00D4356A">
            <w:pPr>
              <w:rPr>
                <w:rFonts w:ascii="宋体" w:eastAsia="宋体" w:hAnsi="宋体" w:cs="宋体"/>
                <w:b/>
                <w:bCs/>
                <w:color w:val="000000"/>
                <w:sz w:val="20"/>
                <w:szCs w:val="20"/>
              </w:rPr>
            </w:pPr>
          </w:p>
        </w:tc>
        <w:tc>
          <w:tcPr>
            <w:tcW w:w="1112" w:type="dxa"/>
            <w:tcBorders>
              <w:top w:val="nil"/>
              <w:left w:val="nil"/>
              <w:bottom w:val="single" w:sz="4" w:space="0" w:color="auto"/>
              <w:right w:val="single" w:sz="4" w:space="0" w:color="auto"/>
            </w:tcBorders>
            <w:shd w:val="clear" w:color="auto" w:fill="auto"/>
            <w:noWrap/>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 xml:space="preserve">　</w:t>
            </w:r>
          </w:p>
        </w:tc>
      </w:tr>
      <w:tr w:rsidR="00D4356A" w:rsidTr="00062736">
        <w:trPr>
          <w:trHeight w:val="1215"/>
        </w:trPr>
        <w:tc>
          <w:tcPr>
            <w:tcW w:w="703" w:type="dxa"/>
            <w:vMerge/>
            <w:tcBorders>
              <w:left w:val="single" w:sz="4" w:space="0" w:color="auto"/>
              <w:right w:val="nil"/>
            </w:tcBorders>
            <w:vAlign w:val="center"/>
            <w:hideMark/>
          </w:tcPr>
          <w:p w:rsidR="00D4356A" w:rsidRDefault="00D4356A">
            <w:pPr>
              <w:rPr>
                <w:rFonts w:ascii="仿宋" w:eastAsia="仿宋" w:hAnsi="仿宋" w:cs="宋体"/>
                <w:b/>
                <w:bCs/>
                <w:color w:val="000000"/>
                <w:sz w:val="20"/>
                <w:szCs w:val="20"/>
              </w:rPr>
            </w:pPr>
          </w:p>
        </w:tc>
        <w:tc>
          <w:tcPr>
            <w:tcW w:w="1580" w:type="dxa"/>
            <w:gridSpan w:val="2"/>
            <w:tcBorders>
              <w:top w:val="nil"/>
              <w:left w:val="single" w:sz="8" w:space="0" w:color="auto"/>
              <w:bottom w:val="single" w:sz="8"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专科、专升本生学费（学分制）</w:t>
            </w:r>
          </w:p>
        </w:tc>
        <w:tc>
          <w:tcPr>
            <w:tcW w:w="989" w:type="dxa"/>
            <w:tcBorders>
              <w:top w:val="nil"/>
              <w:left w:val="nil"/>
              <w:bottom w:val="single" w:sz="8"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2016级秋以后含16秋</w:t>
            </w:r>
          </w:p>
        </w:tc>
        <w:tc>
          <w:tcPr>
            <w:tcW w:w="850" w:type="dxa"/>
            <w:tcBorders>
              <w:top w:val="nil"/>
              <w:left w:val="nil"/>
              <w:bottom w:val="single" w:sz="8"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元/学分</w:t>
            </w:r>
          </w:p>
        </w:tc>
        <w:tc>
          <w:tcPr>
            <w:tcW w:w="1280" w:type="dxa"/>
            <w:tcBorders>
              <w:top w:val="nil"/>
              <w:left w:val="nil"/>
              <w:bottom w:val="single" w:sz="8"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60-153（总学费不超过12240元）</w:t>
            </w:r>
          </w:p>
        </w:tc>
        <w:tc>
          <w:tcPr>
            <w:tcW w:w="1417" w:type="dxa"/>
            <w:gridSpan w:val="2"/>
            <w:tcBorders>
              <w:top w:val="nil"/>
              <w:left w:val="nil"/>
              <w:bottom w:val="single" w:sz="8"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鄂价费[2006]183号</w:t>
            </w:r>
          </w:p>
        </w:tc>
        <w:tc>
          <w:tcPr>
            <w:tcW w:w="709" w:type="dxa"/>
            <w:vMerge/>
            <w:tcBorders>
              <w:left w:val="single" w:sz="4" w:space="0" w:color="auto"/>
              <w:right w:val="single" w:sz="4" w:space="0" w:color="auto"/>
            </w:tcBorders>
            <w:vAlign w:val="center"/>
            <w:hideMark/>
          </w:tcPr>
          <w:p w:rsidR="00D4356A" w:rsidRDefault="00D4356A">
            <w:pPr>
              <w:rPr>
                <w:rFonts w:ascii="宋体" w:eastAsia="宋体" w:hAnsi="宋体" w:cs="宋体"/>
                <w:b/>
                <w:bCs/>
                <w:color w:val="000000"/>
                <w:sz w:val="20"/>
                <w:szCs w:val="20"/>
              </w:rPr>
            </w:pPr>
          </w:p>
        </w:tc>
        <w:tc>
          <w:tcPr>
            <w:tcW w:w="1112" w:type="dxa"/>
            <w:tcBorders>
              <w:top w:val="nil"/>
              <w:left w:val="nil"/>
              <w:bottom w:val="single" w:sz="4"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专科总学分85 专升本总学分80</w:t>
            </w:r>
          </w:p>
        </w:tc>
      </w:tr>
      <w:tr w:rsidR="00D4356A" w:rsidTr="00876DF7">
        <w:trPr>
          <w:trHeight w:val="372"/>
        </w:trPr>
        <w:tc>
          <w:tcPr>
            <w:tcW w:w="703" w:type="dxa"/>
            <w:vMerge/>
            <w:tcBorders>
              <w:left w:val="single" w:sz="4" w:space="0" w:color="auto"/>
              <w:right w:val="nil"/>
            </w:tcBorders>
            <w:vAlign w:val="center"/>
            <w:hideMark/>
          </w:tcPr>
          <w:p w:rsidR="00D4356A" w:rsidRDefault="00D4356A">
            <w:pPr>
              <w:rPr>
                <w:rFonts w:ascii="仿宋" w:eastAsia="仿宋" w:hAnsi="仿宋" w:cs="宋体"/>
                <w:b/>
                <w:bCs/>
                <w:color w:val="000000"/>
                <w:sz w:val="20"/>
                <w:szCs w:val="20"/>
              </w:rPr>
            </w:pPr>
          </w:p>
        </w:tc>
        <w:tc>
          <w:tcPr>
            <w:tcW w:w="6116" w:type="dxa"/>
            <w:gridSpan w:val="7"/>
            <w:tcBorders>
              <w:top w:val="nil"/>
              <w:left w:val="single" w:sz="8" w:space="0" w:color="auto"/>
              <w:bottom w:val="single" w:sz="4" w:space="0" w:color="auto"/>
              <w:right w:val="single" w:sz="4" w:space="0" w:color="auto"/>
            </w:tcBorders>
            <w:shd w:val="clear" w:color="auto" w:fill="auto"/>
            <w:vAlign w:val="center"/>
            <w:hideMark/>
          </w:tcPr>
          <w:p w:rsidR="00D4356A" w:rsidRDefault="00D4356A" w:rsidP="00062736">
            <w:pPr>
              <w:rPr>
                <w:rFonts w:ascii="仿宋" w:eastAsia="仿宋" w:hAnsi="仿宋" w:cs="宋体"/>
                <w:b/>
                <w:bCs/>
                <w:color w:val="000000"/>
                <w:sz w:val="20"/>
                <w:szCs w:val="20"/>
              </w:rPr>
            </w:pPr>
            <w:r>
              <w:rPr>
                <w:rFonts w:ascii="仿宋" w:eastAsia="仿宋" w:hAnsi="仿宋" w:hint="eastAsia"/>
                <w:b/>
                <w:bCs/>
                <w:color w:val="000000"/>
                <w:sz w:val="20"/>
                <w:szCs w:val="20"/>
              </w:rPr>
              <w:t>函授教育学费(业余）</w:t>
            </w:r>
          </w:p>
        </w:tc>
        <w:tc>
          <w:tcPr>
            <w:tcW w:w="709" w:type="dxa"/>
            <w:vMerge/>
            <w:tcBorders>
              <w:left w:val="single" w:sz="4" w:space="0" w:color="auto"/>
              <w:right w:val="single" w:sz="4" w:space="0" w:color="auto"/>
            </w:tcBorders>
            <w:vAlign w:val="center"/>
            <w:hideMark/>
          </w:tcPr>
          <w:p w:rsidR="00D4356A" w:rsidRDefault="00D4356A">
            <w:pPr>
              <w:rPr>
                <w:rFonts w:ascii="宋体" w:eastAsia="宋体" w:hAnsi="宋体" w:cs="宋体"/>
                <w:b/>
                <w:bCs/>
                <w:color w:val="000000"/>
                <w:sz w:val="20"/>
                <w:szCs w:val="20"/>
              </w:rPr>
            </w:pPr>
          </w:p>
        </w:tc>
        <w:tc>
          <w:tcPr>
            <w:tcW w:w="1112" w:type="dxa"/>
            <w:tcBorders>
              <w:top w:val="nil"/>
              <w:left w:val="nil"/>
              <w:bottom w:val="single" w:sz="4" w:space="0" w:color="auto"/>
              <w:right w:val="single" w:sz="4" w:space="0" w:color="auto"/>
            </w:tcBorders>
            <w:shd w:val="clear" w:color="auto" w:fill="auto"/>
            <w:noWrap/>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 xml:space="preserve">　</w:t>
            </w:r>
          </w:p>
        </w:tc>
      </w:tr>
      <w:tr w:rsidR="00D4356A" w:rsidTr="00062736">
        <w:trPr>
          <w:trHeight w:val="720"/>
        </w:trPr>
        <w:tc>
          <w:tcPr>
            <w:tcW w:w="703" w:type="dxa"/>
            <w:vMerge/>
            <w:tcBorders>
              <w:left w:val="single" w:sz="4" w:space="0" w:color="auto"/>
              <w:right w:val="nil"/>
            </w:tcBorders>
            <w:vAlign w:val="center"/>
            <w:hideMark/>
          </w:tcPr>
          <w:p w:rsidR="00D4356A" w:rsidRDefault="00D4356A" w:rsidP="00701011">
            <w:pPr>
              <w:rPr>
                <w:rFonts w:ascii="仿宋" w:eastAsia="仿宋" w:hAnsi="仿宋" w:cs="宋体"/>
                <w:b/>
                <w:bCs/>
                <w:color w:val="000000"/>
                <w:sz w:val="20"/>
                <w:szCs w:val="20"/>
              </w:rPr>
            </w:pPr>
          </w:p>
        </w:tc>
        <w:tc>
          <w:tcPr>
            <w:tcW w:w="1580" w:type="dxa"/>
            <w:gridSpan w:val="2"/>
            <w:tcBorders>
              <w:top w:val="nil"/>
              <w:left w:val="single" w:sz="8" w:space="0" w:color="auto"/>
              <w:bottom w:val="single" w:sz="4"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高升专</w:t>
            </w:r>
          </w:p>
        </w:tc>
        <w:tc>
          <w:tcPr>
            <w:tcW w:w="989" w:type="dxa"/>
            <w:tcBorders>
              <w:top w:val="nil"/>
              <w:left w:val="nil"/>
              <w:bottom w:val="single" w:sz="4" w:space="0" w:color="auto"/>
              <w:right w:val="single" w:sz="4" w:space="0" w:color="auto"/>
            </w:tcBorders>
            <w:shd w:val="clear" w:color="auto" w:fill="auto"/>
            <w:noWrap/>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2019年前</w:t>
            </w:r>
          </w:p>
        </w:tc>
        <w:tc>
          <w:tcPr>
            <w:tcW w:w="850" w:type="dxa"/>
            <w:tcBorders>
              <w:top w:val="nil"/>
              <w:left w:val="nil"/>
              <w:bottom w:val="single" w:sz="4"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元/生.年</w:t>
            </w:r>
          </w:p>
        </w:tc>
        <w:tc>
          <w:tcPr>
            <w:tcW w:w="1416" w:type="dxa"/>
            <w:gridSpan w:val="2"/>
            <w:tcBorders>
              <w:top w:val="nil"/>
              <w:left w:val="nil"/>
              <w:bottom w:val="single" w:sz="4"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1400-1800</w:t>
            </w:r>
          </w:p>
        </w:tc>
        <w:tc>
          <w:tcPr>
            <w:tcW w:w="1281" w:type="dxa"/>
            <w:tcBorders>
              <w:top w:val="nil"/>
              <w:left w:val="nil"/>
              <w:bottom w:val="single" w:sz="4"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鄂价费[2006]183号</w:t>
            </w:r>
          </w:p>
        </w:tc>
        <w:tc>
          <w:tcPr>
            <w:tcW w:w="709" w:type="dxa"/>
            <w:vMerge/>
            <w:tcBorders>
              <w:left w:val="single" w:sz="4" w:space="0" w:color="auto"/>
              <w:right w:val="single" w:sz="4" w:space="0" w:color="auto"/>
            </w:tcBorders>
            <w:vAlign w:val="center"/>
            <w:hideMark/>
          </w:tcPr>
          <w:p w:rsidR="00D4356A" w:rsidRDefault="00D4356A">
            <w:pPr>
              <w:rPr>
                <w:rFonts w:ascii="宋体" w:eastAsia="宋体" w:hAnsi="宋体" w:cs="宋体"/>
                <w:b/>
                <w:bCs/>
                <w:color w:val="000000"/>
                <w:sz w:val="20"/>
                <w:szCs w:val="20"/>
              </w:rPr>
            </w:pPr>
          </w:p>
        </w:tc>
        <w:tc>
          <w:tcPr>
            <w:tcW w:w="1112" w:type="dxa"/>
            <w:tcBorders>
              <w:top w:val="nil"/>
              <w:left w:val="nil"/>
              <w:bottom w:val="single" w:sz="4" w:space="0" w:color="auto"/>
              <w:right w:val="single" w:sz="4" w:space="0" w:color="auto"/>
            </w:tcBorders>
            <w:shd w:val="clear" w:color="auto" w:fill="auto"/>
            <w:noWrap/>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 xml:space="preserve">　</w:t>
            </w:r>
          </w:p>
        </w:tc>
      </w:tr>
      <w:tr w:rsidR="00D4356A" w:rsidTr="00062736">
        <w:trPr>
          <w:trHeight w:val="720"/>
        </w:trPr>
        <w:tc>
          <w:tcPr>
            <w:tcW w:w="703" w:type="dxa"/>
            <w:vMerge/>
            <w:tcBorders>
              <w:left w:val="single" w:sz="4" w:space="0" w:color="auto"/>
              <w:right w:val="nil"/>
            </w:tcBorders>
            <w:vAlign w:val="center"/>
            <w:hideMark/>
          </w:tcPr>
          <w:p w:rsidR="00D4356A" w:rsidRDefault="00D4356A">
            <w:pPr>
              <w:rPr>
                <w:rFonts w:ascii="仿宋" w:eastAsia="仿宋" w:hAnsi="仿宋" w:cs="宋体"/>
                <w:b/>
                <w:bCs/>
                <w:color w:val="000000"/>
                <w:sz w:val="20"/>
                <w:szCs w:val="20"/>
              </w:rPr>
            </w:pPr>
          </w:p>
        </w:tc>
        <w:tc>
          <w:tcPr>
            <w:tcW w:w="1580" w:type="dxa"/>
            <w:gridSpan w:val="2"/>
            <w:tcBorders>
              <w:top w:val="nil"/>
              <w:left w:val="single" w:sz="8" w:space="0" w:color="auto"/>
              <w:bottom w:val="single" w:sz="4"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专升本</w:t>
            </w:r>
          </w:p>
        </w:tc>
        <w:tc>
          <w:tcPr>
            <w:tcW w:w="989" w:type="dxa"/>
            <w:tcBorders>
              <w:top w:val="nil"/>
              <w:left w:val="nil"/>
              <w:bottom w:val="single" w:sz="4" w:space="0" w:color="auto"/>
              <w:right w:val="single" w:sz="4" w:space="0" w:color="auto"/>
            </w:tcBorders>
            <w:shd w:val="clear" w:color="auto" w:fill="auto"/>
            <w:noWrap/>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2019年前</w:t>
            </w:r>
          </w:p>
        </w:tc>
        <w:tc>
          <w:tcPr>
            <w:tcW w:w="850" w:type="dxa"/>
            <w:tcBorders>
              <w:top w:val="nil"/>
              <w:left w:val="nil"/>
              <w:bottom w:val="single" w:sz="4"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元/生.年</w:t>
            </w:r>
          </w:p>
        </w:tc>
        <w:tc>
          <w:tcPr>
            <w:tcW w:w="1416" w:type="dxa"/>
            <w:gridSpan w:val="2"/>
            <w:tcBorders>
              <w:top w:val="nil"/>
              <w:left w:val="nil"/>
              <w:bottom w:val="single" w:sz="4"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1800-2200</w:t>
            </w:r>
          </w:p>
        </w:tc>
        <w:tc>
          <w:tcPr>
            <w:tcW w:w="1281" w:type="dxa"/>
            <w:tcBorders>
              <w:top w:val="nil"/>
              <w:left w:val="nil"/>
              <w:bottom w:val="single" w:sz="4"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鄂价费[2006]183号</w:t>
            </w:r>
          </w:p>
        </w:tc>
        <w:tc>
          <w:tcPr>
            <w:tcW w:w="709" w:type="dxa"/>
            <w:vMerge/>
            <w:tcBorders>
              <w:left w:val="single" w:sz="4" w:space="0" w:color="auto"/>
              <w:right w:val="single" w:sz="4" w:space="0" w:color="auto"/>
            </w:tcBorders>
            <w:vAlign w:val="center"/>
            <w:hideMark/>
          </w:tcPr>
          <w:p w:rsidR="00D4356A" w:rsidRDefault="00D4356A">
            <w:pPr>
              <w:rPr>
                <w:rFonts w:ascii="宋体" w:eastAsia="宋体" w:hAnsi="宋体" w:cs="宋体"/>
                <w:b/>
                <w:bCs/>
                <w:color w:val="000000"/>
                <w:sz w:val="20"/>
                <w:szCs w:val="20"/>
              </w:rPr>
            </w:pPr>
          </w:p>
        </w:tc>
        <w:tc>
          <w:tcPr>
            <w:tcW w:w="1112" w:type="dxa"/>
            <w:tcBorders>
              <w:top w:val="nil"/>
              <w:left w:val="nil"/>
              <w:bottom w:val="single" w:sz="4" w:space="0" w:color="auto"/>
              <w:right w:val="single" w:sz="4" w:space="0" w:color="auto"/>
            </w:tcBorders>
            <w:shd w:val="clear" w:color="auto" w:fill="auto"/>
            <w:noWrap/>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 xml:space="preserve">　</w:t>
            </w:r>
          </w:p>
        </w:tc>
      </w:tr>
      <w:tr w:rsidR="00D4356A" w:rsidTr="00062736">
        <w:trPr>
          <w:trHeight w:val="1215"/>
        </w:trPr>
        <w:tc>
          <w:tcPr>
            <w:tcW w:w="703" w:type="dxa"/>
            <w:vMerge/>
            <w:tcBorders>
              <w:left w:val="single" w:sz="4" w:space="0" w:color="auto"/>
              <w:right w:val="nil"/>
            </w:tcBorders>
            <w:vAlign w:val="center"/>
            <w:hideMark/>
          </w:tcPr>
          <w:p w:rsidR="00D4356A" w:rsidRDefault="00D4356A">
            <w:pPr>
              <w:rPr>
                <w:rFonts w:ascii="仿宋" w:eastAsia="仿宋" w:hAnsi="仿宋" w:cs="宋体"/>
                <w:b/>
                <w:bCs/>
                <w:color w:val="000000"/>
                <w:sz w:val="20"/>
                <w:szCs w:val="20"/>
              </w:rPr>
            </w:pPr>
          </w:p>
        </w:tc>
        <w:tc>
          <w:tcPr>
            <w:tcW w:w="1580" w:type="dxa"/>
            <w:gridSpan w:val="2"/>
            <w:tcBorders>
              <w:top w:val="nil"/>
              <w:left w:val="single" w:sz="8" w:space="0" w:color="auto"/>
              <w:bottom w:val="single" w:sz="8"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专科、专升本生学费（学分制）</w:t>
            </w:r>
          </w:p>
        </w:tc>
        <w:tc>
          <w:tcPr>
            <w:tcW w:w="989" w:type="dxa"/>
            <w:tcBorders>
              <w:top w:val="nil"/>
              <w:left w:val="nil"/>
              <w:bottom w:val="single" w:sz="8" w:space="0" w:color="auto"/>
              <w:right w:val="single" w:sz="4" w:space="0" w:color="auto"/>
            </w:tcBorders>
            <w:shd w:val="clear" w:color="auto" w:fill="auto"/>
            <w:noWrap/>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2019年以后</w:t>
            </w:r>
          </w:p>
        </w:tc>
        <w:tc>
          <w:tcPr>
            <w:tcW w:w="850" w:type="dxa"/>
            <w:tcBorders>
              <w:top w:val="nil"/>
              <w:left w:val="nil"/>
              <w:bottom w:val="single" w:sz="8"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元/学分</w:t>
            </w:r>
          </w:p>
        </w:tc>
        <w:tc>
          <w:tcPr>
            <w:tcW w:w="1416" w:type="dxa"/>
            <w:gridSpan w:val="2"/>
            <w:tcBorders>
              <w:top w:val="nil"/>
              <w:left w:val="nil"/>
              <w:bottom w:val="single" w:sz="8"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60-153（总学费不超过12240元）</w:t>
            </w:r>
          </w:p>
        </w:tc>
        <w:tc>
          <w:tcPr>
            <w:tcW w:w="1281" w:type="dxa"/>
            <w:tcBorders>
              <w:top w:val="nil"/>
              <w:left w:val="nil"/>
              <w:bottom w:val="single" w:sz="8"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鄂价费[2006]183号</w:t>
            </w:r>
          </w:p>
        </w:tc>
        <w:tc>
          <w:tcPr>
            <w:tcW w:w="709" w:type="dxa"/>
            <w:vMerge/>
            <w:tcBorders>
              <w:left w:val="single" w:sz="4" w:space="0" w:color="auto"/>
              <w:right w:val="single" w:sz="4" w:space="0" w:color="auto"/>
            </w:tcBorders>
            <w:vAlign w:val="center"/>
            <w:hideMark/>
          </w:tcPr>
          <w:p w:rsidR="00D4356A" w:rsidRDefault="00D4356A">
            <w:pPr>
              <w:rPr>
                <w:rFonts w:ascii="宋体" w:eastAsia="宋体" w:hAnsi="宋体" w:cs="宋体"/>
                <w:b/>
                <w:bCs/>
                <w:color w:val="000000"/>
                <w:sz w:val="20"/>
                <w:szCs w:val="20"/>
              </w:rPr>
            </w:pPr>
          </w:p>
        </w:tc>
        <w:tc>
          <w:tcPr>
            <w:tcW w:w="1112" w:type="dxa"/>
            <w:tcBorders>
              <w:top w:val="nil"/>
              <w:left w:val="nil"/>
              <w:bottom w:val="single" w:sz="4"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专科总学分85 专升本总学分80</w:t>
            </w:r>
          </w:p>
        </w:tc>
      </w:tr>
      <w:tr w:rsidR="00062736" w:rsidTr="00876DF7">
        <w:trPr>
          <w:trHeight w:val="357"/>
        </w:trPr>
        <w:tc>
          <w:tcPr>
            <w:tcW w:w="703" w:type="dxa"/>
            <w:vMerge/>
            <w:tcBorders>
              <w:left w:val="single" w:sz="4" w:space="0" w:color="auto"/>
              <w:right w:val="nil"/>
            </w:tcBorders>
            <w:vAlign w:val="center"/>
            <w:hideMark/>
          </w:tcPr>
          <w:p w:rsidR="00062736" w:rsidRDefault="00062736">
            <w:pPr>
              <w:rPr>
                <w:rFonts w:ascii="仿宋" w:eastAsia="仿宋" w:hAnsi="仿宋" w:cs="宋体"/>
                <w:b/>
                <w:bCs/>
                <w:color w:val="000000"/>
                <w:sz w:val="20"/>
                <w:szCs w:val="20"/>
              </w:rPr>
            </w:pPr>
          </w:p>
        </w:tc>
        <w:tc>
          <w:tcPr>
            <w:tcW w:w="6116" w:type="dxa"/>
            <w:gridSpan w:val="7"/>
            <w:tcBorders>
              <w:top w:val="nil"/>
              <w:left w:val="single" w:sz="8" w:space="0" w:color="auto"/>
              <w:bottom w:val="single" w:sz="4" w:space="0" w:color="auto"/>
              <w:right w:val="single" w:sz="4" w:space="0" w:color="auto"/>
            </w:tcBorders>
            <w:shd w:val="clear" w:color="auto" w:fill="auto"/>
            <w:vAlign w:val="center"/>
            <w:hideMark/>
          </w:tcPr>
          <w:p w:rsidR="00062736" w:rsidRDefault="00062736" w:rsidP="00876DF7">
            <w:pPr>
              <w:rPr>
                <w:rFonts w:ascii="仿宋" w:eastAsia="仿宋" w:hAnsi="仿宋" w:cs="宋体"/>
                <w:b/>
                <w:bCs/>
                <w:color w:val="000000"/>
                <w:sz w:val="20"/>
                <w:szCs w:val="20"/>
              </w:rPr>
            </w:pPr>
            <w:r>
              <w:rPr>
                <w:rFonts w:ascii="仿宋" w:eastAsia="仿宋" w:hAnsi="仿宋" w:hint="eastAsia"/>
                <w:b/>
                <w:bCs/>
                <w:color w:val="000000"/>
                <w:sz w:val="20"/>
                <w:szCs w:val="20"/>
              </w:rPr>
              <w:t>继续教育学分银行培训学费</w:t>
            </w:r>
          </w:p>
        </w:tc>
        <w:tc>
          <w:tcPr>
            <w:tcW w:w="709" w:type="dxa"/>
            <w:vMerge/>
            <w:tcBorders>
              <w:left w:val="single" w:sz="4" w:space="0" w:color="auto"/>
              <w:right w:val="single" w:sz="4" w:space="0" w:color="auto"/>
            </w:tcBorders>
            <w:vAlign w:val="center"/>
            <w:hideMark/>
          </w:tcPr>
          <w:p w:rsidR="00062736" w:rsidRDefault="00062736">
            <w:pPr>
              <w:rPr>
                <w:rFonts w:ascii="宋体" w:eastAsia="宋体" w:hAnsi="宋体" w:cs="宋体"/>
                <w:b/>
                <w:bCs/>
                <w:color w:val="000000"/>
                <w:sz w:val="20"/>
                <w:szCs w:val="20"/>
              </w:rPr>
            </w:pPr>
          </w:p>
        </w:tc>
        <w:tc>
          <w:tcPr>
            <w:tcW w:w="1112" w:type="dxa"/>
            <w:tcBorders>
              <w:top w:val="nil"/>
              <w:left w:val="nil"/>
              <w:bottom w:val="single" w:sz="4" w:space="0" w:color="auto"/>
              <w:right w:val="single" w:sz="4" w:space="0" w:color="auto"/>
            </w:tcBorders>
            <w:shd w:val="clear" w:color="auto" w:fill="auto"/>
            <w:noWrap/>
            <w:vAlign w:val="center"/>
            <w:hideMark/>
          </w:tcPr>
          <w:p w:rsidR="00062736" w:rsidRDefault="00062736">
            <w:pPr>
              <w:rPr>
                <w:rFonts w:ascii="仿宋" w:eastAsia="仿宋" w:hAnsi="仿宋" w:cs="宋体"/>
                <w:b/>
                <w:bCs/>
                <w:color w:val="000000"/>
                <w:sz w:val="20"/>
                <w:szCs w:val="20"/>
              </w:rPr>
            </w:pPr>
            <w:r>
              <w:rPr>
                <w:rFonts w:ascii="仿宋" w:eastAsia="仿宋" w:hAnsi="仿宋" w:hint="eastAsia"/>
                <w:b/>
                <w:bCs/>
                <w:color w:val="000000"/>
                <w:sz w:val="20"/>
                <w:szCs w:val="20"/>
              </w:rPr>
              <w:t xml:space="preserve">　</w:t>
            </w:r>
          </w:p>
        </w:tc>
      </w:tr>
      <w:tr w:rsidR="00D4356A" w:rsidTr="00062736">
        <w:trPr>
          <w:trHeight w:val="1215"/>
        </w:trPr>
        <w:tc>
          <w:tcPr>
            <w:tcW w:w="703" w:type="dxa"/>
            <w:vMerge/>
            <w:tcBorders>
              <w:left w:val="single" w:sz="4" w:space="0" w:color="auto"/>
              <w:bottom w:val="single" w:sz="4" w:space="0" w:color="auto"/>
              <w:right w:val="nil"/>
            </w:tcBorders>
            <w:vAlign w:val="center"/>
            <w:hideMark/>
          </w:tcPr>
          <w:p w:rsidR="00D4356A" w:rsidRDefault="00D4356A">
            <w:pPr>
              <w:rPr>
                <w:rFonts w:ascii="仿宋" w:eastAsia="仿宋" w:hAnsi="仿宋" w:cs="宋体"/>
                <w:b/>
                <w:bCs/>
                <w:color w:val="000000"/>
                <w:sz w:val="20"/>
                <w:szCs w:val="20"/>
              </w:rPr>
            </w:pPr>
          </w:p>
        </w:tc>
        <w:tc>
          <w:tcPr>
            <w:tcW w:w="1580" w:type="dxa"/>
            <w:gridSpan w:val="2"/>
            <w:tcBorders>
              <w:top w:val="nil"/>
              <w:left w:val="single" w:sz="8" w:space="0" w:color="auto"/>
              <w:bottom w:val="single" w:sz="8"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专科、专升本生学费（学分制）</w:t>
            </w:r>
          </w:p>
        </w:tc>
        <w:tc>
          <w:tcPr>
            <w:tcW w:w="989" w:type="dxa"/>
            <w:tcBorders>
              <w:top w:val="nil"/>
              <w:left w:val="nil"/>
              <w:bottom w:val="single" w:sz="8" w:space="0" w:color="auto"/>
              <w:right w:val="single" w:sz="4" w:space="0" w:color="auto"/>
            </w:tcBorders>
            <w:shd w:val="clear" w:color="auto" w:fill="auto"/>
            <w:noWrap/>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在读学员</w:t>
            </w:r>
          </w:p>
        </w:tc>
        <w:tc>
          <w:tcPr>
            <w:tcW w:w="850" w:type="dxa"/>
            <w:tcBorders>
              <w:top w:val="nil"/>
              <w:left w:val="nil"/>
              <w:bottom w:val="single" w:sz="8"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元/学分</w:t>
            </w:r>
          </w:p>
        </w:tc>
        <w:tc>
          <w:tcPr>
            <w:tcW w:w="1416" w:type="dxa"/>
            <w:gridSpan w:val="2"/>
            <w:tcBorders>
              <w:top w:val="nil"/>
              <w:left w:val="nil"/>
              <w:bottom w:val="single" w:sz="8" w:space="0" w:color="auto"/>
              <w:right w:val="single" w:sz="4" w:space="0" w:color="auto"/>
            </w:tcBorders>
            <w:shd w:val="clear" w:color="auto" w:fill="auto"/>
            <w:vAlign w:val="center"/>
            <w:hideMark/>
          </w:tcPr>
          <w:p w:rsidR="00D4356A" w:rsidRDefault="00D4356A">
            <w:pPr>
              <w:jc w:val="center"/>
              <w:rPr>
                <w:rFonts w:ascii="仿宋" w:eastAsia="仿宋" w:hAnsi="仿宋" w:cs="宋体"/>
                <w:b/>
                <w:bCs/>
                <w:color w:val="000000"/>
                <w:sz w:val="20"/>
                <w:szCs w:val="20"/>
              </w:rPr>
            </w:pPr>
            <w:r>
              <w:rPr>
                <w:rFonts w:ascii="仿宋" w:eastAsia="仿宋" w:hAnsi="仿宋" w:hint="eastAsia"/>
                <w:b/>
                <w:bCs/>
                <w:color w:val="000000"/>
                <w:sz w:val="20"/>
                <w:szCs w:val="20"/>
              </w:rPr>
              <w:t>60-153（总学费不超过12240元）</w:t>
            </w:r>
          </w:p>
        </w:tc>
        <w:tc>
          <w:tcPr>
            <w:tcW w:w="1281" w:type="dxa"/>
            <w:tcBorders>
              <w:top w:val="nil"/>
              <w:left w:val="nil"/>
              <w:bottom w:val="single" w:sz="8"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鄂价费[2006]183号</w:t>
            </w:r>
          </w:p>
        </w:tc>
        <w:tc>
          <w:tcPr>
            <w:tcW w:w="709" w:type="dxa"/>
            <w:vMerge/>
            <w:tcBorders>
              <w:left w:val="single" w:sz="4" w:space="0" w:color="auto"/>
              <w:bottom w:val="single" w:sz="4" w:space="0" w:color="auto"/>
              <w:right w:val="single" w:sz="4" w:space="0" w:color="auto"/>
            </w:tcBorders>
            <w:vAlign w:val="center"/>
            <w:hideMark/>
          </w:tcPr>
          <w:p w:rsidR="00D4356A" w:rsidRDefault="00D4356A">
            <w:pPr>
              <w:rPr>
                <w:rFonts w:ascii="宋体" w:eastAsia="宋体" w:hAnsi="宋体" w:cs="宋体"/>
                <w:b/>
                <w:bCs/>
                <w:color w:val="000000"/>
                <w:sz w:val="20"/>
                <w:szCs w:val="20"/>
              </w:rPr>
            </w:pPr>
          </w:p>
        </w:tc>
        <w:tc>
          <w:tcPr>
            <w:tcW w:w="1112" w:type="dxa"/>
            <w:tcBorders>
              <w:top w:val="nil"/>
              <w:left w:val="nil"/>
              <w:bottom w:val="single" w:sz="4" w:space="0" w:color="auto"/>
              <w:right w:val="single" w:sz="4" w:space="0" w:color="auto"/>
            </w:tcBorders>
            <w:shd w:val="clear" w:color="auto" w:fill="auto"/>
            <w:vAlign w:val="center"/>
            <w:hideMark/>
          </w:tcPr>
          <w:p w:rsidR="00D4356A" w:rsidRDefault="00D4356A">
            <w:pPr>
              <w:rPr>
                <w:rFonts w:ascii="仿宋" w:eastAsia="仿宋" w:hAnsi="仿宋" w:cs="宋体"/>
                <w:b/>
                <w:bCs/>
                <w:color w:val="000000"/>
                <w:sz w:val="20"/>
                <w:szCs w:val="20"/>
              </w:rPr>
            </w:pPr>
            <w:r>
              <w:rPr>
                <w:rFonts w:ascii="仿宋" w:eastAsia="仿宋" w:hAnsi="仿宋" w:hint="eastAsia"/>
                <w:b/>
                <w:bCs/>
                <w:color w:val="000000"/>
                <w:sz w:val="20"/>
                <w:szCs w:val="20"/>
              </w:rPr>
              <w:t>专科总学分85 专升本总学分80</w:t>
            </w:r>
          </w:p>
        </w:tc>
      </w:tr>
    </w:tbl>
    <w:p w:rsidR="00CF0688" w:rsidRPr="00316A90" w:rsidRDefault="00CF0688" w:rsidP="00CF0688">
      <w:pPr>
        <w:rPr>
          <w:sz w:val="28"/>
          <w:szCs w:val="28"/>
        </w:rPr>
      </w:pPr>
      <w:r w:rsidRPr="00316A90">
        <w:rPr>
          <w:rFonts w:hint="eastAsia"/>
          <w:sz w:val="28"/>
          <w:szCs w:val="28"/>
        </w:rPr>
        <w:lastRenderedPageBreak/>
        <w:t>二、</w:t>
      </w:r>
      <w:r w:rsidRPr="00316A90">
        <w:rPr>
          <w:rFonts w:hint="eastAsia"/>
          <w:b/>
          <w:bCs/>
          <w:sz w:val="28"/>
          <w:szCs w:val="28"/>
        </w:rPr>
        <w:t>未按学校规定缴纳学费怎么办？</w:t>
      </w:r>
      <w:r w:rsidRPr="00316A90">
        <w:rPr>
          <w:b/>
          <w:bCs/>
          <w:sz w:val="28"/>
          <w:szCs w:val="28"/>
        </w:rPr>
        <w:t xml:space="preserve"> </w:t>
      </w:r>
    </w:p>
    <w:p w:rsidR="00CF0688" w:rsidRPr="00B4674D" w:rsidRDefault="00CF0688" w:rsidP="00CF0688">
      <w:pPr>
        <w:rPr>
          <w:sz w:val="24"/>
          <w:szCs w:val="24"/>
        </w:rPr>
      </w:pPr>
      <w:r w:rsidRPr="00B4674D">
        <w:rPr>
          <w:sz w:val="24"/>
          <w:szCs w:val="24"/>
        </w:rPr>
        <w:t xml:space="preserve">    </w:t>
      </w:r>
      <w:r w:rsidRPr="00B4674D">
        <w:rPr>
          <w:sz w:val="24"/>
          <w:szCs w:val="24"/>
        </w:rPr>
        <w:t>依据教育部</w:t>
      </w:r>
      <w:r w:rsidRPr="00B4674D">
        <w:rPr>
          <w:rFonts w:hint="eastAsia"/>
          <w:sz w:val="24"/>
          <w:szCs w:val="24"/>
        </w:rPr>
        <w:t>《普通高等学校学生管理规定》</w:t>
      </w:r>
      <w:r w:rsidRPr="00B4674D">
        <w:rPr>
          <w:rFonts w:hint="eastAsia"/>
          <w:sz w:val="24"/>
          <w:szCs w:val="24"/>
        </w:rPr>
        <w:t xml:space="preserve"> </w:t>
      </w:r>
      <w:r w:rsidRPr="00B4674D">
        <w:rPr>
          <w:rFonts w:hint="eastAsia"/>
          <w:sz w:val="24"/>
          <w:szCs w:val="24"/>
        </w:rPr>
        <w:t>“未按学校规定缴纳学费或其他不符合注册条件的不予注册”的规定，未经允许不缴纳学费者取消选课资格、不予注册、考试成绩不予记录。</w:t>
      </w:r>
    </w:p>
    <w:p w:rsidR="00CF0688" w:rsidRPr="00316A90" w:rsidRDefault="00CF0688" w:rsidP="00CF0688">
      <w:pPr>
        <w:rPr>
          <w:sz w:val="28"/>
          <w:szCs w:val="28"/>
        </w:rPr>
      </w:pPr>
      <w:r w:rsidRPr="00316A90">
        <w:rPr>
          <w:rFonts w:hint="eastAsia"/>
          <w:b/>
          <w:bCs/>
          <w:sz w:val="28"/>
          <w:szCs w:val="28"/>
        </w:rPr>
        <w:t>三、为什么要全额收费？</w:t>
      </w:r>
      <w:r w:rsidRPr="00316A90">
        <w:rPr>
          <w:rFonts w:hint="eastAsia"/>
          <w:b/>
          <w:bCs/>
          <w:sz w:val="28"/>
          <w:szCs w:val="28"/>
        </w:rPr>
        <w:t xml:space="preserve"> </w:t>
      </w:r>
    </w:p>
    <w:p w:rsidR="00CF0688" w:rsidRPr="00B4674D" w:rsidRDefault="00CF0688" w:rsidP="00CF0688">
      <w:pPr>
        <w:rPr>
          <w:sz w:val="24"/>
          <w:szCs w:val="24"/>
        </w:rPr>
      </w:pPr>
      <w:r w:rsidRPr="00B4674D">
        <w:rPr>
          <w:rFonts w:hint="eastAsia"/>
          <w:sz w:val="24"/>
          <w:szCs w:val="24"/>
        </w:rPr>
        <w:t xml:space="preserve">    </w:t>
      </w:r>
      <w:r w:rsidRPr="00B4674D">
        <w:rPr>
          <w:rFonts w:hint="eastAsia"/>
          <w:sz w:val="24"/>
          <w:szCs w:val="24"/>
        </w:rPr>
        <w:t>根据《教育部</w:t>
      </w:r>
      <w:r w:rsidRPr="00B4674D">
        <w:rPr>
          <w:rFonts w:hint="eastAsia"/>
          <w:sz w:val="24"/>
          <w:szCs w:val="24"/>
        </w:rPr>
        <w:t xml:space="preserve"> </w:t>
      </w:r>
      <w:r w:rsidRPr="00B4674D">
        <w:rPr>
          <w:rFonts w:hint="eastAsia"/>
          <w:sz w:val="24"/>
          <w:szCs w:val="24"/>
        </w:rPr>
        <w:t>国家发展改革委</w:t>
      </w:r>
      <w:r w:rsidRPr="00B4674D">
        <w:rPr>
          <w:rFonts w:hint="eastAsia"/>
          <w:sz w:val="24"/>
          <w:szCs w:val="24"/>
        </w:rPr>
        <w:t xml:space="preserve"> </w:t>
      </w:r>
      <w:r w:rsidRPr="00B4674D">
        <w:rPr>
          <w:rFonts w:hint="eastAsia"/>
          <w:sz w:val="24"/>
          <w:szCs w:val="24"/>
        </w:rPr>
        <w:t>财政部关于进一步规范高校教育收费管理若干问题的通知》（教财</w:t>
      </w:r>
      <w:r w:rsidRPr="00B4674D">
        <w:rPr>
          <w:rFonts w:hint="eastAsia"/>
          <w:sz w:val="24"/>
          <w:szCs w:val="24"/>
        </w:rPr>
        <w:t>[2006]2</w:t>
      </w:r>
      <w:r w:rsidRPr="00B4674D">
        <w:rPr>
          <w:rFonts w:hint="eastAsia"/>
          <w:sz w:val="24"/>
          <w:szCs w:val="24"/>
        </w:rPr>
        <w:t>号）规定：高校行政事业性收费应当由学校财务部门统一收取、管理和核算，并严格实行“收支两条线”管理，收入按照国家有关规定和学校财务隶属关系及时全额上缴财政专户或国库，支出由财政部门按预算核拨。（</w:t>
      </w:r>
      <w:r w:rsidRPr="00B4674D">
        <w:rPr>
          <w:rFonts w:hint="eastAsia"/>
          <w:sz w:val="24"/>
          <w:szCs w:val="24"/>
        </w:rPr>
        <w:t>2</w:t>
      </w:r>
      <w:r w:rsidRPr="00B4674D">
        <w:rPr>
          <w:rFonts w:hint="eastAsia"/>
          <w:sz w:val="24"/>
          <w:szCs w:val="24"/>
        </w:rPr>
        <w:t>）严格按物价部门的规定和标准收取学费，严禁标准外收费。高校要直接向学生收取学费，不得通过校外学习中心代为收费（公共服务体系除外）。</w:t>
      </w:r>
      <w:r w:rsidRPr="00B4674D">
        <w:rPr>
          <w:rFonts w:hint="eastAsia"/>
          <w:sz w:val="24"/>
          <w:szCs w:val="24"/>
        </w:rPr>
        <w:t xml:space="preserve"> </w:t>
      </w:r>
    </w:p>
    <w:p w:rsidR="00F64995" w:rsidRPr="00316A90" w:rsidRDefault="00F64995" w:rsidP="00F64995">
      <w:pPr>
        <w:rPr>
          <w:b/>
          <w:bCs/>
          <w:sz w:val="28"/>
          <w:szCs w:val="28"/>
        </w:rPr>
      </w:pPr>
      <w:r w:rsidRPr="00316A90">
        <w:rPr>
          <w:rFonts w:hint="eastAsia"/>
          <w:b/>
          <w:bCs/>
          <w:sz w:val="28"/>
          <w:szCs w:val="28"/>
        </w:rPr>
        <w:t>四、收费流程和时间。</w:t>
      </w:r>
      <w:r w:rsidRPr="00316A90">
        <w:rPr>
          <w:rFonts w:hint="eastAsia"/>
          <w:b/>
          <w:bCs/>
          <w:sz w:val="28"/>
          <w:szCs w:val="28"/>
        </w:rPr>
        <w:t xml:space="preserve"> </w:t>
      </w:r>
    </w:p>
    <w:p w:rsidR="00F64995" w:rsidRPr="00B4674D" w:rsidRDefault="00F64995" w:rsidP="00F64995">
      <w:pPr>
        <w:rPr>
          <w:bCs/>
          <w:sz w:val="24"/>
          <w:szCs w:val="24"/>
        </w:rPr>
      </w:pPr>
      <w:r w:rsidRPr="00B4674D">
        <w:rPr>
          <w:rFonts w:hint="eastAsia"/>
          <w:bCs/>
          <w:sz w:val="24"/>
          <w:szCs w:val="24"/>
        </w:rPr>
        <w:t>（</w:t>
      </w:r>
      <w:r w:rsidRPr="00B4674D">
        <w:rPr>
          <w:rFonts w:hint="eastAsia"/>
          <w:bCs/>
          <w:sz w:val="24"/>
          <w:szCs w:val="24"/>
        </w:rPr>
        <w:t>1</w:t>
      </w:r>
      <w:r w:rsidRPr="00B4674D">
        <w:rPr>
          <w:rFonts w:hint="eastAsia"/>
          <w:bCs/>
          <w:sz w:val="24"/>
          <w:szCs w:val="24"/>
        </w:rPr>
        <w:t>）学校实行“缴费</w:t>
      </w:r>
      <w:r w:rsidRPr="00B4674D">
        <w:rPr>
          <w:rFonts w:hint="eastAsia"/>
          <w:bCs/>
          <w:sz w:val="24"/>
          <w:szCs w:val="24"/>
        </w:rPr>
        <w:t>--</w:t>
      </w:r>
      <w:r w:rsidRPr="00B4674D">
        <w:rPr>
          <w:rFonts w:hint="eastAsia"/>
          <w:bCs/>
          <w:sz w:val="24"/>
          <w:szCs w:val="24"/>
        </w:rPr>
        <w:t>学习</w:t>
      </w:r>
      <w:r w:rsidRPr="00B4674D">
        <w:rPr>
          <w:rFonts w:hint="eastAsia"/>
          <w:bCs/>
          <w:sz w:val="24"/>
          <w:szCs w:val="24"/>
        </w:rPr>
        <w:t>--</w:t>
      </w:r>
      <w:r w:rsidRPr="00B4674D">
        <w:rPr>
          <w:rFonts w:hint="eastAsia"/>
          <w:bCs/>
          <w:sz w:val="24"/>
          <w:szCs w:val="24"/>
        </w:rPr>
        <w:t>注册”制度。</w:t>
      </w:r>
    </w:p>
    <w:p w:rsidR="00F64995" w:rsidRPr="00B4674D" w:rsidRDefault="00B4674D" w:rsidP="00F64995">
      <w:pPr>
        <w:rPr>
          <w:bCs/>
          <w:sz w:val="24"/>
          <w:szCs w:val="24"/>
        </w:rPr>
      </w:pPr>
      <w:r>
        <w:rPr>
          <w:rFonts w:hint="eastAsia"/>
          <w:b/>
          <w:bCs/>
        </w:rPr>
        <w:t xml:space="preserve">   </w:t>
      </w:r>
      <w:r w:rsidR="00316A90">
        <w:rPr>
          <w:rFonts w:hint="eastAsia"/>
          <w:b/>
          <w:bCs/>
        </w:rPr>
        <w:t xml:space="preserve"> </w:t>
      </w:r>
      <w:r w:rsidR="00F64995" w:rsidRPr="00B4674D">
        <w:rPr>
          <w:rFonts w:hint="eastAsia"/>
          <w:bCs/>
          <w:sz w:val="24"/>
          <w:szCs w:val="24"/>
        </w:rPr>
        <w:t>（</w:t>
      </w:r>
      <w:r w:rsidR="00F64995" w:rsidRPr="00B4674D">
        <w:rPr>
          <w:rFonts w:hint="eastAsia"/>
          <w:bCs/>
          <w:sz w:val="24"/>
          <w:szCs w:val="24"/>
        </w:rPr>
        <w:t>2</w:t>
      </w:r>
      <w:r w:rsidR="00F64995" w:rsidRPr="00B4674D">
        <w:rPr>
          <w:rFonts w:hint="eastAsia"/>
          <w:bCs/>
          <w:sz w:val="24"/>
          <w:szCs w:val="24"/>
        </w:rPr>
        <w:t>）新生缴费时间为招生结束后两周之内；老生缴费时间为每学年开学两周之内。学生学费分三次缴纳，每学年开学后的一月内缴纳该年度所选课程学费。学生也可以根据个人实际缴纳两学年</w:t>
      </w:r>
      <w:r w:rsidR="00D40DF9">
        <w:rPr>
          <w:rFonts w:hint="eastAsia"/>
          <w:bCs/>
          <w:sz w:val="24"/>
          <w:szCs w:val="24"/>
        </w:rPr>
        <w:t>（</w:t>
      </w:r>
      <w:r w:rsidR="00D40DF9">
        <w:rPr>
          <w:rFonts w:hint="eastAsia"/>
          <w:bCs/>
          <w:sz w:val="24"/>
          <w:szCs w:val="24"/>
        </w:rPr>
        <w:t>1</w:t>
      </w:r>
      <w:r w:rsidR="00D40DF9">
        <w:rPr>
          <w:rFonts w:hint="eastAsia"/>
          <w:bCs/>
          <w:sz w:val="24"/>
          <w:szCs w:val="24"/>
        </w:rPr>
        <w:t>、</w:t>
      </w:r>
      <w:r w:rsidR="00D40DF9">
        <w:rPr>
          <w:rFonts w:hint="eastAsia"/>
          <w:bCs/>
          <w:sz w:val="24"/>
          <w:szCs w:val="24"/>
        </w:rPr>
        <w:t>3</w:t>
      </w:r>
      <w:r w:rsidR="00D40DF9">
        <w:rPr>
          <w:rFonts w:hint="eastAsia"/>
          <w:bCs/>
          <w:sz w:val="24"/>
          <w:szCs w:val="24"/>
        </w:rPr>
        <w:t>学期缴纳完成所有学费）</w:t>
      </w:r>
      <w:r w:rsidR="00F64995" w:rsidRPr="00B4674D">
        <w:rPr>
          <w:rFonts w:hint="eastAsia"/>
          <w:bCs/>
          <w:sz w:val="24"/>
          <w:szCs w:val="24"/>
        </w:rPr>
        <w:t>或该专业所有课程学费。</w:t>
      </w:r>
      <w:r w:rsidR="00F64995" w:rsidRPr="00B4674D">
        <w:rPr>
          <w:rFonts w:hint="eastAsia"/>
          <w:bCs/>
          <w:sz w:val="24"/>
          <w:szCs w:val="24"/>
        </w:rPr>
        <w:t xml:space="preserve"> </w:t>
      </w:r>
    </w:p>
    <w:p w:rsidR="00AE1C37" w:rsidRPr="00DD6AA5" w:rsidRDefault="00F64995">
      <w:pPr>
        <w:rPr>
          <w:b/>
          <w:bCs/>
          <w:sz w:val="28"/>
          <w:szCs w:val="28"/>
        </w:rPr>
      </w:pPr>
      <w:r w:rsidRPr="00DD6AA5">
        <w:rPr>
          <w:rFonts w:hint="eastAsia"/>
          <w:b/>
          <w:bCs/>
          <w:sz w:val="28"/>
          <w:szCs w:val="28"/>
        </w:rPr>
        <w:t>五</w:t>
      </w:r>
      <w:r w:rsidR="00CF0688" w:rsidRPr="00DD6AA5">
        <w:rPr>
          <w:rFonts w:hint="eastAsia"/>
          <w:b/>
          <w:bCs/>
          <w:sz w:val="28"/>
          <w:szCs w:val="28"/>
        </w:rPr>
        <w:t>、为什么由集中汇缴改为学生个人缴费？</w:t>
      </w:r>
    </w:p>
    <w:p w:rsidR="00CF0688" w:rsidRPr="00B4674D" w:rsidRDefault="00CF0688" w:rsidP="00CF0688">
      <w:pPr>
        <w:rPr>
          <w:sz w:val="24"/>
          <w:szCs w:val="24"/>
        </w:rPr>
      </w:pPr>
      <w:r w:rsidRPr="00B4674D">
        <w:rPr>
          <w:rFonts w:hint="eastAsia"/>
          <w:sz w:val="24"/>
          <w:szCs w:val="24"/>
        </w:rPr>
        <w:t xml:space="preserve">   </w:t>
      </w:r>
      <w:r w:rsidRPr="00B4674D">
        <w:rPr>
          <w:rFonts w:hint="eastAsia"/>
          <w:sz w:val="24"/>
          <w:szCs w:val="24"/>
        </w:rPr>
        <w:t>（</w:t>
      </w:r>
      <w:r w:rsidRPr="00B4674D">
        <w:rPr>
          <w:sz w:val="24"/>
          <w:szCs w:val="24"/>
        </w:rPr>
        <w:t>1</w:t>
      </w:r>
      <w:r w:rsidRPr="00B4674D">
        <w:rPr>
          <w:rFonts w:hint="eastAsia"/>
          <w:sz w:val="24"/>
          <w:szCs w:val="24"/>
        </w:rPr>
        <w:t>）依据《普通高等学校远程学历继续教育教学管理要点（试行）》第十三条</w:t>
      </w:r>
      <w:r w:rsidRPr="00B4674D">
        <w:rPr>
          <w:rFonts w:hint="eastAsia"/>
          <w:sz w:val="24"/>
          <w:szCs w:val="24"/>
        </w:rPr>
        <w:t xml:space="preserve"> </w:t>
      </w:r>
      <w:r w:rsidRPr="00B4674D">
        <w:rPr>
          <w:rFonts w:hint="eastAsia"/>
          <w:sz w:val="24"/>
          <w:szCs w:val="24"/>
        </w:rPr>
        <w:t>严格按物价部门的规定和标准收取学费，严禁标准外收费。高校要直接向学生收取学费，不得通过校外学习中心代为收费。</w:t>
      </w:r>
    </w:p>
    <w:p w:rsidR="00D40DF9" w:rsidRDefault="00CF0688" w:rsidP="00CF0688">
      <w:pPr>
        <w:rPr>
          <w:sz w:val="24"/>
          <w:szCs w:val="24"/>
        </w:rPr>
      </w:pPr>
      <w:r w:rsidRPr="00B4674D">
        <w:rPr>
          <w:rFonts w:hint="eastAsia"/>
          <w:sz w:val="24"/>
          <w:szCs w:val="24"/>
        </w:rPr>
        <w:t xml:space="preserve">   </w:t>
      </w:r>
      <w:r w:rsidRPr="00B4674D">
        <w:rPr>
          <w:rFonts w:hint="eastAsia"/>
          <w:sz w:val="24"/>
          <w:szCs w:val="24"/>
        </w:rPr>
        <w:t>（</w:t>
      </w:r>
      <w:r w:rsidRPr="00B4674D">
        <w:rPr>
          <w:sz w:val="24"/>
          <w:szCs w:val="24"/>
        </w:rPr>
        <w:t>2</w:t>
      </w:r>
      <w:r w:rsidRPr="00B4674D">
        <w:rPr>
          <w:rFonts w:hint="eastAsia"/>
          <w:sz w:val="24"/>
          <w:szCs w:val="24"/>
        </w:rPr>
        <w:t>）《武汉理工大学继续教育学院学费收缴管理办法》第一章</w:t>
      </w:r>
      <w:r w:rsidRPr="00B4674D">
        <w:rPr>
          <w:rFonts w:hint="eastAsia"/>
          <w:sz w:val="24"/>
          <w:szCs w:val="24"/>
        </w:rPr>
        <w:t xml:space="preserve"> </w:t>
      </w:r>
      <w:r w:rsidRPr="00B4674D">
        <w:rPr>
          <w:rFonts w:hint="eastAsia"/>
          <w:sz w:val="24"/>
          <w:szCs w:val="24"/>
        </w:rPr>
        <w:t>第四条，根据全国高校现代远程教育协作组文件规定，学生直接向学校缴纳学费，学习中心、函授站及合作办学单位不得代为收费。</w:t>
      </w:r>
    </w:p>
    <w:p w:rsidR="00D40DF9" w:rsidRPr="00C73F32" w:rsidRDefault="00D40DF9" w:rsidP="00CF0688">
      <w:pPr>
        <w:rPr>
          <w:b/>
          <w:sz w:val="28"/>
          <w:szCs w:val="28"/>
        </w:rPr>
      </w:pPr>
      <w:r w:rsidRPr="00C73F32">
        <w:rPr>
          <w:rFonts w:hint="eastAsia"/>
          <w:b/>
          <w:sz w:val="28"/>
          <w:szCs w:val="28"/>
        </w:rPr>
        <w:t>六、缴费规则。</w:t>
      </w:r>
    </w:p>
    <w:p w:rsidR="00D40DF9" w:rsidRDefault="00C73F32" w:rsidP="00CF0688">
      <w:pPr>
        <w:rPr>
          <w:sz w:val="24"/>
          <w:szCs w:val="24"/>
        </w:rPr>
      </w:pPr>
      <w:r>
        <w:rPr>
          <w:rFonts w:hint="eastAsia"/>
          <w:sz w:val="24"/>
          <w:szCs w:val="24"/>
        </w:rPr>
        <w:t xml:space="preserve">   </w:t>
      </w:r>
      <w:r w:rsidR="00D40DF9">
        <w:rPr>
          <w:rFonts w:hint="eastAsia"/>
          <w:sz w:val="24"/>
          <w:szCs w:val="24"/>
        </w:rPr>
        <w:t>（</w:t>
      </w:r>
      <w:r w:rsidR="00D40DF9">
        <w:rPr>
          <w:rFonts w:hint="eastAsia"/>
          <w:sz w:val="24"/>
          <w:szCs w:val="24"/>
        </w:rPr>
        <w:t>1</w:t>
      </w:r>
      <w:r w:rsidR="00D40DF9">
        <w:rPr>
          <w:rFonts w:hint="eastAsia"/>
          <w:sz w:val="24"/>
          <w:szCs w:val="24"/>
        </w:rPr>
        <w:t>）</w:t>
      </w:r>
      <w:r>
        <w:rPr>
          <w:rFonts w:hint="eastAsia"/>
          <w:sz w:val="24"/>
          <w:szCs w:val="24"/>
        </w:rPr>
        <w:t>每一届学生必须在第一学期规定时间内完成缴费平台所显示缴费金额，未按时足额缴纳学费的学生将不参加当学期学习、考试。</w:t>
      </w:r>
    </w:p>
    <w:p w:rsidR="00C73F32" w:rsidRPr="00C73F32" w:rsidRDefault="00C73F32" w:rsidP="00CF0688">
      <w:pPr>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）每一届学生只有一次补缴，未按时足额缴纳学费的学生在第二学期可以进行补缴学费，缴纳完成后方可参与学习、考试。</w:t>
      </w:r>
    </w:p>
    <w:p w:rsidR="00CF0688" w:rsidRPr="00316A90" w:rsidRDefault="00F64995" w:rsidP="00CF0688">
      <w:pPr>
        <w:rPr>
          <w:sz w:val="28"/>
          <w:szCs w:val="28"/>
        </w:rPr>
      </w:pPr>
      <w:r w:rsidRPr="00316A90">
        <w:rPr>
          <w:rFonts w:hint="eastAsia"/>
          <w:b/>
          <w:bCs/>
          <w:sz w:val="28"/>
          <w:szCs w:val="28"/>
        </w:rPr>
        <w:t>六</w:t>
      </w:r>
      <w:r w:rsidR="00CF0688" w:rsidRPr="00316A90">
        <w:rPr>
          <w:rFonts w:hint="eastAsia"/>
          <w:b/>
          <w:bCs/>
          <w:sz w:val="28"/>
          <w:szCs w:val="28"/>
        </w:rPr>
        <w:t>、返款时间的改变</w:t>
      </w:r>
      <w:r w:rsidR="00B4674D" w:rsidRPr="00316A90">
        <w:rPr>
          <w:rFonts w:hint="eastAsia"/>
          <w:b/>
          <w:bCs/>
          <w:sz w:val="28"/>
          <w:szCs w:val="28"/>
        </w:rPr>
        <w:t>。</w:t>
      </w:r>
    </w:p>
    <w:p w:rsidR="00CF0688" w:rsidRPr="00B4674D" w:rsidRDefault="00CF0688" w:rsidP="00CF0688">
      <w:pPr>
        <w:rPr>
          <w:sz w:val="24"/>
          <w:szCs w:val="24"/>
        </w:rPr>
      </w:pPr>
      <w:r w:rsidRPr="00B4674D">
        <w:rPr>
          <w:rFonts w:hint="eastAsia"/>
          <w:sz w:val="24"/>
          <w:szCs w:val="24"/>
        </w:rPr>
        <w:t xml:space="preserve">    </w:t>
      </w:r>
      <w:r w:rsidRPr="00B4674D">
        <w:rPr>
          <w:rFonts w:hint="eastAsia"/>
          <w:sz w:val="24"/>
          <w:szCs w:val="24"/>
        </w:rPr>
        <w:t>返款时间由原站点集中汇缴结束后迅速返款改为在《缴费公告》缴费规定时间结束后，各站点</w:t>
      </w:r>
      <w:r w:rsidR="001C1F10">
        <w:rPr>
          <w:rFonts w:hint="eastAsia"/>
          <w:sz w:val="24"/>
          <w:szCs w:val="24"/>
        </w:rPr>
        <w:t>与学籍办核对学费后依据双方协议规定比例</w:t>
      </w:r>
      <w:r w:rsidRPr="00B4674D">
        <w:rPr>
          <w:rFonts w:hint="eastAsia"/>
          <w:sz w:val="24"/>
          <w:szCs w:val="24"/>
        </w:rPr>
        <w:t>将返款票据寄给继续教育学院，按先后顺序返款。</w:t>
      </w:r>
      <w:r w:rsidRPr="00B4674D">
        <w:rPr>
          <w:sz w:val="24"/>
          <w:szCs w:val="24"/>
        </w:rPr>
        <w:t xml:space="preserve"> </w:t>
      </w:r>
    </w:p>
    <w:p w:rsidR="00F863D3" w:rsidRPr="00316A90" w:rsidRDefault="00B4674D" w:rsidP="00F863D3">
      <w:pPr>
        <w:rPr>
          <w:b/>
          <w:sz w:val="28"/>
          <w:szCs w:val="28"/>
        </w:rPr>
      </w:pPr>
      <w:r w:rsidRPr="00316A90">
        <w:rPr>
          <w:rFonts w:hint="eastAsia"/>
          <w:b/>
          <w:sz w:val="28"/>
          <w:szCs w:val="28"/>
        </w:rPr>
        <w:t>七</w:t>
      </w:r>
      <w:r w:rsidR="00F863D3" w:rsidRPr="00316A90">
        <w:rPr>
          <w:rFonts w:hint="eastAsia"/>
          <w:b/>
          <w:sz w:val="28"/>
          <w:szCs w:val="28"/>
        </w:rPr>
        <w:t>、中断学业或因退学等原因终止本校学习的学生怎么退费？</w:t>
      </w:r>
    </w:p>
    <w:p w:rsidR="00F863D3" w:rsidRPr="00B4674D" w:rsidRDefault="00F863D3" w:rsidP="00F863D3">
      <w:pPr>
        <w:rPr>
          <w:sz w:val="24"/>
          <w:szCs w:val="24"/>
        </w:rPr>
      </w:pPr>
      <w:r w:rsidRPr="00B4674D">
        <w:rPr>
          <w:rFonts w:hint="eastAsia"/>
          <w:sz w:val="24"/>
          <w:szCs w:val="24"/>
        </w:rPr>
        <w:t xml:space="preserve">  </w:t>
      </w:r>
      <w:r w:rsidR="00316A90">
        <w:rPr>
          <w:rFonts w:hint="eastAsia"/>
          <w:sz w:val="24"/>
          <w:szCs w:val="24"/>
        </w:rPr>
        <w:t xml:space="preserve"> </w:t>
      </w:r>
      <w:r w:rsidRPr="00B4674D">
        <w:rPr>
          <w:rFonts w:hint="eastAsia"/>
          <w:sz w:val="24"/>
          <w:szCs w:val="24"/>
        </w:rPr>
        <w:t>（</w:t>
      </w:r>
      <w:r w:rsidRPr="00B4674D">
        <w:rPr>
          <w:sz w:val="24"/>
          <w:szCs w:val="24"/>
        </w:rPr>
        <w:t>1</w:t>
      </w:r>
      <w:r w:rsidRPr="00B4674D">
        <w:rPr>
          <w:rFonts w:hint="eastAsia"/>
          <w:sz w:val="24"/>
          <w:szCs w:val="24"/>
        </w:rPr>
        <w:t>）依据省物价局省教育厅关于修订高校学分制收费管理办法的通知》第十三条</w:t>
      </w:r>
      <w:r w:rsidRPr="00B4674D">
        <w:rPr>
          <w:sz w:val="24"/>
          <w:szCs w:val="24"/>
        </w:rPr>
        <w:t>  </w:t>
      </w:r>
      <w:r w:rsidRPr="00B4674D">
        <w:rPr>
          <w:rFonts w:hint="eastAsia"/>
          <w:sz w:val="24"/>
          <w:szCs w:val="24"/>
        </w:rPr>
        <w:t>因故休学（保留学籍）、中断学业或因出国、退学、转学等原因终止本校学习的学生，按月计收当年的专业学费。休学期满复学，当年按月计收专业学费。</w:t>
      </w:r>
      <w:r w:rsidRPr="00B4674D">
        <w:rPr>
          <w:rFonts w:hint="eastAsia"/>
          <w:sz w:val="24"/>
          <w:szCs w:val="24"/>
        </w:rPr>
        <w:lastRenderedPageBreak/>
        <w:t>专业学费按每学年</w:t>
      </w:r>
      <w:r w:rsidRPr="00B4674D">
        <w:rPr>
          <w:sz w:val="24"/>
          <w:szCs w:val="24"/>
        </w:rPr>
        <w:t>10</w:t>
      </w:r>
      <w:r w:rsidRPr="00B4674D">
        <w:rPr>
          <w:rFonts w:hint="eastAsia"/>
          <w:sz w:val="24"/>
          <w:szCs w:val="24"/>
        </w:rPr>
        <w:t>个月计算，不足</w:t>
      </w:r>
      <w:r w:rsidRPr="00B4674D">
        <w:rPr>
          <w:sz w:val="24"/>
          <w:szCs w:val="24"/>
        </w:rPr>
        <w:t>1</w:t>
      </w:r>
      <w:r w:rsidRPr="00B4674D">
        <w:rPr>
          <w:rFonts w:hint="eastAsia"/>
          <w:sz w:val="24"/>
          <w:szCs w:val="24"/>
        </w:rPr>
        <w:t>个月的按</w:t>
      </w:r>
      <w:r w:rsidRPr="00B4674D">
        <w:rPr>
          <w:sz w:val="24"/>
          <w:szCs w:val="24"/>
        </w:rPr>
        <w:t>1</w:t>
      </w:r>
      <w:r w:rsidRPr="00B4674D">
        <w:rPr>
          <w:rFonts w:hint="eastAsia"/>
          <w:sz w:val="24"/>
          <w:szCs w:val="24"/>
        </w:rPr>
        <w:t>个月计算。学生因违反校纪校规或触犯法律而被开除学籍的，其学费不予退回。</w:t>
      </w:r>
    </w:p>
    <w:p w:rsidR="00F863D3" w:rsidRPr="00B4674D" w:rsidRDefault="00F863D3" w:rsidP="00F863D3">
      <w:pPr>
        <w:rPr>
          <w:sz w:val="24"/>
          <w:szCs w:val="24"/>
        </w:rPr>
      </w:pPr>
      <w:r w:rsidRPr="00B4674D">
        <w:rPr>
          <w:rFonts w:hint="eastAsia"/>
          <w:sz w:val="24"/>
          <w:szCs w:val="24"/>
        </w:rPr>
        <w:t xml:space="preserve">  </w:t>
      </w:r>
      <w:r w:rsidR="00316A90">
        <w:rPr>
          <w:rFonts w:hint="eastAsia"/>
          <w:sz w:val="24"/>
          <w:szCs w:val="24"/>
        </w:rPr>
        <w:t xml:space="preserve"> </w:t>
      </w:r>
      <w:r w:rsidRPr="00B4674D">
        <w:rPr>
          <w:rFonts w:hint="eastAsia"/>
          <w:sz w:val="24"/>
          <w:szCs w:val="24"/>
        </w:rPr>
        <w:t>（</w:t>
      </w:r>
      <w:r w:rsidRPr="00B4674D">
        <w:rPr>
          <w:sz w:val="24"/>
          <w:szCs w:val="24"/>
        </w:rPr>
        <w:t>2</w:t>
      </w:r>
      <w:r w:rsidRPr="00B4674D">
        <w:rPr>
          <w:rFonts w:hint="eastAsia"/>
          <w:sz w:val="24"/>
          <w:szCs w:val="24"/>
        </w:rPr>
        <w:t>）《武汉理工大学继续教育学院学费收缴管理规定》第十五条</w:t>
      </w:r>
      <w:r w:rsidRPr="00B4674D">
        <w:rPr>
          <w:sz w:val="24"/>
          <w:szCs w:val="24"/>
        </w:rPr>
        <w:t xml:space="preserve">   </w:t>
      </w:r>
      <w:r w:rsidRPr="00B4674D">
        <w:rPr>
          <w:rFonts w:hint="eastAsia"/>
          <w:sz w:val="24"/>
          <w:szCs w:val="24"/>
        </w:rPr>
        <w:t>学生交纳学费后，因各种原因退学的，学校根据学生实际学习时间，按月计退还剩余学费。退学时间以学生正式提交书面申请日期计算。</w:t>
      </w:r>
      <w:r w:rsidRPr="00B4674D">
        <w:rPr>
          <w:sz w:val="24"/>
          <w:szCs w:val="24"/>
        </w:rPr>
        <w:t xml:space="preserve"> </w:t>
      </w:r>
    </w:p>
    <w:p w:rsidR="00F863D3" w:rsidRPr="00B4674D" w:rsidRDefault="00F863D3" w:rsidP="00F863D3">
      <w:pPr>
        <w:rPr>
          <w:sz w:val="24"/>
          <w:szCs w:val="24"/>
        </w:rPr>
      </w:pPr>
      <w:r w:rsidRPr="00B4674D">
        <w:rPr>
          <w:rFonts w:hint="eastAsia"/>
          <w:sz w:val="24"/>
          <w:szCs w:val="24"/>
        </w:rPr>
        <w:t xml:space="preserve">  </w:t>
      </w:r>
      <w:r w:rsidR="00316A90">
        <w:rPr>
          <w:rFonts w:hint="eastAsia"/>
          <w:sz w:val="24"/>
          <w:szCs w:val="24"/>
        </w:rPr>
        <w:t xml:space="preserve"> </w:t>
      </w:r>
      <w:r w:rsidRPr="00B4674D">
        <w:rPr>
          <w:rFonts w:hint="eastAsia"/>
          <w:sz w:val="24"/>
          <w:szCs w:val="24"/>
        </w:rPr>
        <w:t>（</w:t>
      </w:r>
      <w:r w:rsidRPr="00B4674D">
        <w:rPr>
          <w:bCs/>
          <w:sz w:val="24"/>
          <w:szCs w:val="24"/>
        </w:rPr>
        <w:t>3</w:t>
      </w:r>
      <w:r w:rsidRPr="00B4674D">
        <w:rPr>
          <w:rFonts w:hint="eastAsia"/>
          <w:bCs/>
          <w:sz w:val="24"/>
          <w:szCs w:val="24"/>
        </w:rPr>
        <w:t>）退费流程表</w:t>
      </w:r>
    </w:p>
    <w:p w:rsidR="00CF0688" w:rsidRDefault="00F863D3">
      <w:r w:rsidRPr="00F863D3">
        <w:rPr>
          <w:noProof/>
        </w:rPr>
        <w:drawing>
          <wp:inline distT="0" distB="0" distL="0" distR="0">
            <wp:extent cx="5274310" cy="1247775"/>
            <wp:effectExtent l="19050" t="0" r="2540" b="0"/>
            <wp:docPr id="1"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64454" cy="1746552"/>
                      <a:chOff x="2036887" y="4227227"/>
                      <a:chExt cx="8464454" cy="1746552"/>
                    </a:xfrm>
                  </a:grpSpPr>
                  <a:grpSp>
                    <a:nvGrpSpPr>
                      <a:cNvPr id="9" name="Group 337"/>
                      <a:cNvGrpSpPr/>
                    </a:nvGrpSpPr>
                    <a:grpSpPr>
                      <a:xfrm>
                        <a:off x="2036887" y="4264397"/>
                        <a:ext cx="2316294" cy="1514496"/>
                        <a:chOff x="1" y="0"/>
                        <a:chExt cx="4392858" cy="2872248"/>
                      </a:xfrm>
                    </a:grpSpPr>
                    <a:sp>
                      <a:nvSpPr>
                        <a:cNvPr id="10" name="Shape 333"/>
                        <a:cNvSpPr/>
                      </a:nvSpPr>
                      <a:spPr>
                        <a:xfrm>
                          <a:off x="1" y="0"/>
                          <a:ext cx="4392858" cy="28722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5030" y="10904"/>
                              </a:lnTo>
                              <a:lnTo>
                                <a:pt x="0" y="21600"/>
                              </a:lnTo>
                              <a:lnTo>
                                <a:pt x="16497" y="21600"/>
                              </a:lnTo>
                              <a:lnTo>
                                <a:pt x="21600" y="10886"/>
                              </a:lnTo>
                              <a:lnTo>
                                <a:pt x="16483" y="28"/>
                              </a:lnTo>
                              <a:lnTo>
                                <a:pt x="0" y="0"/>
                              </a:lnTo>
                              <a:close/>
                            </a:path>
                          </a:pathLst>
                        </a:custGeom>
                        <a:solidFill>
                          <a:schemeClr val="accent1"/>
                        </a:solidFill>
                        <a:ln w="12700" cap="flat">
                          <a:noFill/>
                          <a:miter lim="400000"/>
                        </a:ln>
                        <a:effec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lvl="0" algn="ctr">
                              <a:lnSpc>
                                <a:spcPct val="120000"/>
                              </a:lnSpc>
                              <a:defRPr sz="11200"/>
                            </a:pPr>
                            <a:endParaRPr sz="1400" b="1">
                              <a:solidFill>
                                <a:schemeClr val="bg1"/>
                              </a:solidFill>
                              <a:latin typeface="Arial" panose="020B0604020202020204" pitchFamily="34" charset="0"/>
                              <a:ea typeface="微软雅黑" panose="020B0503020204020204" pitchFamily="34" charset="-122"/>
                              <a:cs typeface="+mn-ea"/>
                              <a:sym typeface="Arial" panose="020B0604020202020204" pitchFamily="34" charset="0"/>
                            </a:endParaRPr>
                          </a:p>
                        </a:txBody>
                        <a:useSpRect/>
                      </a:txSp>
                    </a:sp>
                    <a:sp>
                      <a:nvSpPr>
                        <a:cNvPr id="11" name="Shape 335"/>
                        <a:cNvSpPr/>
                      </a:nvSpPr>
                      <a:spPr>
                        <a:xfrm>
                          <a:off x="1245607" y="1144624"/>
                          <a:ext cx="2723932" cy="490307"/>
                        </a:xfrm>
                        <a:prstGeom prst="rect">
                          <a:avLst/>
                        </a:prstGeom>
                        <a:noFill/>
                        <a:ln w="12700"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val="1"/>
                          </a:ext>
                        </a:extLst>
                      </a:spPr>
                      <a:txSp>
                        <a:txBody>
                          <a:bodyPr wrap="none" lIns="0" tIns="0" rIns="0" bIns="0" numCol="1" anchor="ctr">
                            <a:sp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algn="ctr">
                              <a:lnSpc>
                                <a:spcPct val="120000"/>
                              </a:lnSpc>
                            </a:pPr>
                            <a:r>
                              <a:rPr lang="zh-CN" altLang="en-US" sz="1400" b="1" dirty="0" smtClean="0">
                                <a:solidFill>
                                  <a:schemeClr val="bg1"/>
                                </a:solidFill>
                                <a:latin typeface="Arial" panose="020B0604020202020204" pitchFamily="34" charset="0"/>
                                <a:ea typeface="微软雅黑" panose="020B0503020204020204" pitchFamily="34" charset="-122"/>
                                <a:cs typeface="+mn-ea"/>
                                <a:sym typeface="Arial" panose="020B0604020202020204" pitchFamily="34" charset="0"/>
                              </a:rPr>
                              <a:t>学生提交退学证明</a:t>
                            </a:r>
                            <a:endParaRPr lang="id-ID" altLang="zh-CN" sz="1400" b="1" dirty="0">
                              <a:solidFill>
                                <a:schemeClr val="bg1"/>
                              </a:solidFill>
                              <a:latin typeface="Arial" panose="020B0604020202020204" pitchFamily="34" charset="0"/>
                              <a:ea typeface="微软雅黑" panose="020B0503020204020204" pitchFamily="34" charset="-122"/>
                              <a:cs typeface="+mn-ea"/>
                              <a:sym typeface="Arial" panose="020B0604020202020204" pitchFamily="34" charset="0"/>
                            </a:endParaRPr>
                          </a:p>
                        </a:txBody>
                        <a:useSpRect/>
                      </a:txSp>
                    </a:sp>
                  </a:grpSp>
                  <a:grpSp>
                    <a:nvGrpSpPr>
                      <a:cNvPr id="13" name="Group 342"/>
                      <a:cNvGrpSpPr/>
                    </a:nvGrpSpPr>
                    <a:grpSpPr>
                      <a:xfrm>
                        <a:off x="4067650" y="4227227"/>
                        <a:ext cx="2316294" cy="1514496"/>
                        <a:chOff x="0" y="0"/>
                        <a:chExt cx="4392859" cy="2872248"/>
                      </a:xfrm>
                      <a:solidFill>
                        <a:srgbClr val="E60000"/>
                      </a:solidFill>
                    </a:grpSpPr>
                    <a:sp>
                      <a:nvSpPr>
                        <a:cNvPr id="14" name="Shape 338"/>
                        <a:cNvSpPr/>
                      </a:nvSpPr>
                      <a:spPr>
                        <a:xfrm>
                          <a:off x="0" y="0"/>
                          <a:ext cx="4392859" cy="28722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5030" y="10904"/>
                              </a:lnTo>
                              <a:lnTo>
                                <a:pt x="0" y="21600"/>
                              </a:lnTo>
                              <a:lnTo>
                                <a:pt x="16497" y="21600"/>
                              </a:lnTo>
                              <a:lnTo>
                                <a:pt x="21600" y="10886"/>
                              </a:lnTo>
                              <a:lnTo>
                                <a:pt x="16483" y="28"/>
                              </a:lnTo>
                              <a:lnTo>
                                <a:pt x="0" y="0"/>
                              </a:lnTo>
                              <a:close/>
                            </a:path>
                          </a:pathLst>
                        </a:custGeom>
                        <a:solidFill>
                          <a:schemeClr val="accent2"/>
                        </a:solidFill>
                        <a:ln w="12700" cap="flat">
                          <a:noFill/>
                          <a:miter lim="400000"/>
                        </a:ln>
                        <a:effec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lvl="0" algn="ctr">
                              <a:lnSpc>
                                <a:spcPct val="120000"/>
                              </a:lnSpc>
                              <a:defRPr sz="11200"/>
                            </a:pPr>
                            <a:endParaRPr sz="1400" b="1">
                              <a:solidFill>
                                <a:schemeClr val="bg1"/>
                              </a:solidFill>
                              <a:latin typeface="Arial" panose="020B0604020202020204" pitchFamily="34" charset="0"/>
                              <a:ea typeface="微软雅黑" panose="020B0503020204020204" pitchFamily="34" charset="-122"/>
                              <a:cs typeface="+mn-ea"/>
                              <a:sym typeface="Arial" panose="020B0604020202020204" pitchFamily="34" charset="0"/>
                            </a:endParaRPr>
                          </a:p>
                        </a:txBody>
                        <a:useSpRect/>
                      </a:txSp>
                    </a:sp>
                    <a:sp>
                      <a:nvSpPr>
                        <a:cNvPr id="15" name="Shape 340"/>
                        <a:cNvSpPr/>
                      </a:nvSpPr>
                      <a:spPr>
                        <a:xfrm>
                          <a:off x="956477" y="1144624"/>
                          <a:ext cx="2852436" cy="431800"/>
                        </a:xfrm>
                        <a:prstGeom prst="rect">
                          <a:avLst/>
                        </a:prstGeom>
                        <a:noFill/>
                        <a:ln w="12700"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val="1"/>
                          </a:ext>
                        </a:ex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algn="ctr">
                              <a:lnSpc>
                                <a:spcPct val="120000"/>
                              </a:lnSpc>
                            </a:pPr>
                            <a:r>
                              <a:rPr lang="zh-CN" altLang="en-US" sz="1400" b="1" dirty="0" smtClean="0">
                                <a:solidFill>
                                  <a:schemeClr val="bg1"/>
                                </a:solidFill>
                                <a:latin typeface="Arial" panose="020B0604020202020204" pitchFamily="34" charset="0"/>
                                <a:ea typeface="微软雅黑" panose="020B0503020204020204" pitchFamily="34" charset="-122"/>
                                <a:cs typeface="+mn-ea"/>
                                <a:sym typeface="Arial" panose="020B0604020202020204" pitchFamily="34" charset="0"/>
                              </a:rPr>
                              <a:t>站点在平台上提交退学申请，将纸质退学证明送（寄）到学院</a:t>
                            </a:r>
                            <a:endParaRPr lang="en-US" altLang="zh-CN" sz="1400" b="1" dirty="0" smtClean="0">
                              <a:solidFill>
                                <a:schemeClr val="bg1"/>
                              </a:solidFill>
                              <a:latin typeface="Arial" panose="020B0604020202020204" pitchFamily="34" charset="0"/>
                              <a:ea typeface="微软雅黑" panose="020B0503020204020204" pitchFamily="34" charset="-122"/>
                              <a:cs typeface="+mn-ea"/>
                              <a:sym typeface="Arial" panose="020B0604020202020204" pitchFamily="34" charset="0"/>
                            </a:endParaRPr>
                          </a:p>
                        </a:txBody>
                        <a:useSpRect/>
                      </a:txSp>
                    </a:sp>
                  </a:grpSp>
                  <a:grpSp>
                    <a:nvGrpSpPr>
                      <a:cNvPr id="16" name="Group 347"/>
                      <a:cNvGrpSpPr/>
                    </a:nvGrpSpPr>
                    <a:grpSpPr>
                      <a:xfrm>
                        <a:off x="6134864" y="4227227"/>
                        <a:ext cx="2316294" cy="1514496"/>
                        <a:chOff x="0" y="0"/>
                        <a:chExt cx="4392859" cy="2872248"/>
                      </a:xfrm>
                    </a:grpSpPr>
                    <a:sp>
                      <a:nvSpPr>
                        <a:cNvPr id="17" name="Shape 343"/>
                        <a:cNvSpPr/>
                      </a:nvSpPr>
                      <a:spPr>
                        <a:xfrm>
                          <a:off x="0" y="0"/>
                          <a:ext cx="4392859" cy="28722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5030" y="10904"/>
                              </a:lnTo>
                              <a:lnTo>
                                <a:pt x="0" y="21600"/>
                              </a:lnTo>
                              <a:lnTo>
                                <a:pt x="16497" y="21600"/>
                              </a:lnTo>
                              <a:lnTo>
                                <a:pt x="21600" y="10886"/>
                              </a:lnTo>
                              <a:lnTo>
                                <a:pt x="16483" y="28"/>
                              </a:lnTo>
                              <a:lnTo>
                                <a:pt x="0" y="0"/>
                              </a:lnTo>
                              <a:close/>
                            </a:path>
                          </a:pathLst>
                        </a:custGeom>
                        <a:solidFill>
                          <a:schemeClr val="accent3"/>
                        </a:solidFill>
                        <a:ln w="12700" cap="flat">
                          <a:noFill/>
                          <a:miter lim="400000"/>
                        </a:ln>
                        <a:effec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lvl="0" algn="ctr">
                              <a:lnSpc>
                                <a:spcPct val="120000"/>
                              </a:lnSpc>
                              <a:defRPr sz="11200"/>
                            </a:pPr>
                            <a:endParaRPr sz="1400" b="1">
                              <a:solidFill>
                                <a:schemeClr val="bg1"/>
                              </a:solidFill>
                              <a:latin typeface="Arial" panose="020B0604020202020204" pitchFamily="34" charset="0"/>
                              <a:ea typeface="微软雅黑" panose="020B0503020204020204" pitchFamily="34" charset="-122"/>
                              <a:cs typeface="+mn-ea"/>
                              <a:sym typeface="Arial" panose="020B0604020202020204" pitchFamily="34" charset="0"/>
                            </a:endParaRPr>
                          </a:p>
                        </a:txBody>
                        <a:useSpRect/>
                      </a:txSp>
                    </a:sp>
                    <a:sp>
                      <a:nvSpPr>
                        <a:cNvPr id="18" name="Shape 345"/>
                        <a:cNvSpPr/>
                      </a:nvSpPr>
                      <a:spPr>
                        <a:xfrm>
                          <a:off x="1086541" y="1289712"/>
                          <a:ext cx="2972476" cy="431800"/>
                        </a:xfrm>
                        <a:prstGeom prst="rect">
                          <a:avLst/>
                        </a:prstGeom>
                        <a:noFill/>
                        <a:ln w="12700"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val="1"/>
                          </a:ext>
                        </a:ex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algn="ctr">
                              <a:lnSpc>
                                <a:spcPct val="120000"/>
                              </a:lnSpc>
                            </a:pPr>
                            <a:r>
                              <a:rPr lang="zh-CN" altLang="en-US" sz="1400" b="1" dirty="0" smtClean="0">
                                <a:solidFill>
                                  <a:schemeClr val="bg1"/>
                                </a:solidFill>
                                <a:latin typeface="Arial" panose="020B0604020202020204" pitchFamily="34" charset="0"/>
                                <a:ea typeface="微软雅黑" panose="020B0503020204020204" pitchFamily="34" charset="-122"/>
                                <a:cs typeface="+mn-ea"/>
                                <a:sym typeface="Arial" panose="020B0604020202020204" pitchFamily="34" charset="0"/>
                              </a:rPr>
                              <a:t>学籍办按分成比例分别计算学院和站点应退款</a:t>
                            </a:r>
                            <a:endParaRPr lang="id-ID" altLang="zh-CN" sz="1400" b="1" dirty="0">
                              <a:solidFill>
                                <a:schemeClr val="bg1"/>
                              </a:solidFill>
                              <a:latin typeface="Arial" panose="020B0604020202020204" pitchFamily="34" charset="0"/>
                              <a:ea typeface="微软雅黑" panose="020B0503020204020204" pitchFamily="34" charset="-122"/>
                              <a:cs typeface="+mn-ea"/>
                              <a:sym typeface="Arial" panose="020B0604020202020204" pitchFamily="34" charset="0"/>
                            </a:endParaRPr>
                          </a:p>
                        </a:txBody>
                        <a:useSpRect/>
                      </a:txSp>
                    </a:sp>
                  </a:grpSp>
                  <a:grpSp>
                    <a:nvGrpSpPr>
                      <a:cNvPr id="19" name="Group 352"/>
                      <a:cNvGrpSpPr/>
                    </a:nvGrpSpPr>
                    <a:grpSpPr>
                      <a:xfrm>
                        <a:off x="8185050" y="4227227"/>
                        <a:ext cx="2316291" cy="1514496"/>
                        <a:chOff x="0" y="0"/>
                        <a:chExt cx="4392859" cy="2872248"/>
                      </a:xfrm>
                      <a:solidFill>
                        <a:srgbClr val="E60000"/>
                      </a:solidFill>
                    </a:grpSpPr>
                    <a:sp>
                      <a:nvSpPr>
                        <a:cNvPr id="20" name="Shape 348"/>
                        <a:cNvSpPr/>
                      </a:nvSpPr>
                      <a:spPr>
                        <a:xfrm>
                          <a:off x="0" y="0"/>
                          <a:ext cx="4392859" cy="28722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5030" y="10904"/>
                              </a:lnTo>
                              <a:lnTo>
                                <a:pt x="0" y="21600"/>
                              </a:lnTo>
                              <a:lnTo>
                                <a:pt x="16497" y="21600"/>
                              </a:lnTo>
                              <a:lnTo>
                                <a:pt x="21600" y="10886"/>
                              </a:lnTo>
                              <a:lnTo>
                                <a:pt x="16483" y="28"/>
                              </a:lnTo>
                              <a:lnTo>
                                <a:pt x="0" y="0"/>
                              </a:lnTo>
                              <a:close/>
                            </a:path>
                          </a:pathLst>
                        </a:custGeom>
                        <a:solidFill>
                          <a:schemeClr val="accent4"/>
                        </a:solidFill>
                        <a:ln w="12700" cap="flat">
                          <a:noFill/>
                          <a:miter lim="400000"/>
                        </a:ln>
                        <a:effec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lvl="0" algn="ctr">
                              <a:lnSpc>
                                <a:spcPct val="120000"/>
                              </a:lnSpc>
                              <a:defRPr sz="11200"/>
                            </a:pPr>
                            <a:endParaRPr sz="1400" b="1">
                              <a:solidFill>
                                <a:schemeClr val="bg1"/>
                              </a:solidFill>
                              <a:latin typeface="Arial" panose="020B0604020202020204" pitchFamily="34" charset="0"/>
                              <a:ea typeface="微软雅黑" panose="020B0503020204020204" pitchFamily="34" charset="-122"/>
                              <a:cs typeface="+mn-ea"/>
                              <a:sym typeface="Arial" panose="020B0604020202020204" pitchFamily="34" charset="0"/>
                            </a:endParaRPr>
                          </a:p>
                        </a:txBody>
                        <a:useSpRect/>
                      </a:txSp>
                    </a:sp>
                    <a:sp>
                      <a:nvSpPr>
                        <a:cNvPr id="21" name="Shape 350"/>
                        <a:cNvSpPr/>
                      </a:nvSpPr>
                      <a:spPr>
                        <a:xfrm>
                          <a:off x="1186403" y="1144624"/>
                          <a:ext cx="2924717" cy="431800"/>
                        </a:xfrm>
                        <a:prstGeom prst="rect">
                          <a:avLst/>
                        </a:prstGeom>
                        <a:noFill/>
                        <a:ln w="12700"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val="1"/>
                          </a:ext>
                        </a:ex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algn="ctr">
                              <a:lnSpc>
                                <a:spcPct val="120000"/>
                              </a:lnSpc>
                            </a:pPr>
                            <a:r>
                              <a:rPr lang="zh-CN" altLang="en-US" sz="1400" b="1" dirty="0" smtClean="0">
                                <a:solidFill>
                                  <a:schemeClr val="bg1"/>
                                </a:solidFill>
                                <a:latin typeface="Arial" panose="020B0604020202020204" pitchFamily="34" charset="0"/>
                                <a:ea typeface="微软雅黑" panose="020B0503020204020204" pitchFamily="34" charset="-122"/>
                                <a:cs typeface="+mn-ea"/>
                                <a:sym typeface="Arial" panose="020B0604020202020204" pitchFamily="34" charset="0"/>
                              </a:rPr>
                              <a:t>按学生提供账号将退款转至其账户</a:t>
                            </a:r>
                            <a:endParaRPr lang="id-ID" altLang="zh-CN" sz="1400" b="1" dirty="0">
                              <a:solidFill>
                                <a:schemeClr val="bg1"/>
                              </a:solidFill>
                              <a:latin typeface="Arial" panose="020B0604020202020204" pitchFamily="34" charset="0"/>
                              <a:ea typeface="微软雅黑" panose="020B0503020204020204" pitchFamily="34" charset="-122"/>
                              <a:cs typeface="+mn-ea"/>
                              <a:sym typeface="Arial" panose="020B0604020202020204" pitchFamily="34" charset="0"/>
                            </a:endParaRPr>
                          </a:p>
                        </a:txBody>
                        <a:useSpRect/>
                      </a:txSp>
                    </a:sp>
                  </a:grpSp>
                  <a:grpSp>
                    <a:nvGrpSpPr>
                      <a:cNvPr id="25" name="Group 360"/>
                      <a:cNvGrpSpPr/>
                    </a:nvGrpSpPr>
                    <a:grpSpPr>
                      <a:xfrm>
                        <a:off x="2984170" y="5525272"/>
                        <a:ext cx="448507" cy="448507"/>
                        <a:chOff x="0" y="0"/>
                        <a:chExt cx="850594" cy="850594"/>
                      </a:xfrm>
                    </a:grpSpPr>
                    <a:sp>
                      <a:nvSpPr>
                        <a:cNvPr id="26" name="Shape 358"/>
                        <a:cNvSpPr/>
                      </a:nvSpPr>
                      <a:spPr>
                        <a:xfrm>
                          <a:off x="0" y="0"/>
                          <a:ext cx="850594" cy="850594"/>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chemeClr val="accent1"/>
                        </a:solidFill>
                        <a:ln w="50800" cap="flat">
                          <a:solidFill>
                            <a:srgbClr val="FBF9FC"/>
                          </a:solidFill>
                          <a:prstDash val="solid"/>
                          <a:miter lim="400000"/>
                        </a:ln>
                        <a:effec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lvl="0" algn="ctr">
                              <a:lnSpc>
                                <a:spcPct val="120000"/>
                              </a:lnSpc>
                              <a:defRPr sz="11200"/>
                            </a:pPr>
                            <a:endParaRPr sz="10900" b="1">
                              <a:solidFill>
                                <a:schemeClr val="bg1"/>
                              </a:solidFill>
                              <a:latin typeface="Arial" panose="020B0604020202020204" pitchFamily="34" charset="0"/>
                              <a:ea typeface="微软雅黑" panose="020B0503020204020204" pitchFamily="34" charset="-122"/>
                              <a:cs typeface="+mn-ea"/>
                              <a:sym typeface="Arial" panose="020B0604020202020204" pitchFamily="34" charset="0"/>
                            </a:endParaRPr>
                          </a:p>
                        </a:txBody>
                        <a:useSpRect/>
                      </a:txSp>
                    </a:sp>
                    <a:sp>
                      <a:nvSpPr>
                        <a:cNvPr id="27" name="Shape 359"/>
                        <a:cNvSpPr/>
                      </a:nvSpPr>
                      <a:spPr>
                        <a:xfrm>
                          <a:off x="300082" y="114147"/>
                          <a:ext cx="250430" cy="622301"/>
                        </a:xfrm>
                        <a:prstGeom prst="rect">
                          <a:avLst/>
                        </a:prstGeom>
                        <a:noFill/>
                        <a:ln w="12700"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val="1"/>
                          </a:ext>
                        </a:ex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lvl="0" algn="ctr">
                              <a:lnSpc>
                                <a:spcPct val="120000"/>
                              </a:lnSpc>
                              <a:defRPr sz="1800" b="0">
                                <a:solidFill>
                                  <a:srgbClr val="000000"/>
                                </a:solidFill>
                              </a:defRPr>
                            </a:pPr>
                            <a:r>
                              <a:rPr sz="1400">
                                <a:solidFill>
                                  <a:schemeClr val="bg1"/>
                                </a:solidFill>
                                <a:latin typeface="Arial" panose="020B0604020202020204" pitchFamily="34" charset="0"/>
                                <a:ea typeface="微软雅黑" panose="020B0503020204020204" pitchFamily="34" charset="-122"/>
                                <a:cs typeface="+mn-ea"/>
                                <a:sym typeface="Arial" panose="020B0604020202020204" pitchFamily="34" charset="0"/>
                              </a:rPr>
                              <a:t>1</a:t>
                            </a:r>
                          </a:p>
                        </a:txBody>
                        <a:useSpRect/>
                      </a:txSp>
                    </a:sp>
                  </a:grpSp>
                  <a:grpSp>
                    <a:nvGrpSpPr>
                      <a:cNvPr id="28" name="Group 363"/>
                      <a:cNvGrpSpPr/>
                    </a:nvGrpSpPr>
                    <a:grpSpPr>
                      <a:xfrm>
                        <a:off x="5005800" y="5525272"/>
                        <a:ext cx="448507" cy="448507"/>
                        <a:chOff x="0" y="0"/>
                        <a:chExt cx="850594" cy="850594"/>
                      </a:xfrm>
                      <a:solidFill>
                        <a:srgbClr val="E60000"/>
                      </a:solidFill>
                    </a:grpSpPr>
                    <a:sp>
                      <a:nvSpPr>
                        <a:cNvPr id="29" name="Shape 361"/>
                        <a:cNvSpPr/>
                      </a:nvSpPr>
                      <a:spPr>
                        <a:xfrm>
                          <a:off x="0" y="0"/>
                          <a:ext cx="850594" cy="850594"/>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chemeClr val="accent2"/>
                        </a:solidFill>
                        <a:ln w="50800" cap="flat">
                          <a:solidFill>
                            <a:srgbClr val="FBF9FC"/>
                          </a:solidFill>
                          <a:prstDash val="solid"/>
                          <a:miter lim="400000"/>
                        </a:ln>
                        <a:effec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lvl="0" algn="ctr">
                              <a:lnSpc>
                                <a:spcPct val="120000"/>
                              </a:lnSpc>
                              <a:defRPr sz="11200"/>
                            </a:pPr>
                            <a:endParaRPr sz="10900" b="1">
                              <a:solidFill>
                                <a:schemeClr val="bg1"/>
                              </a:solidFill>
                              <a:latin typeface="Arial" panose="020B0604020202020204" pitchFamily="34" charset="0"/>
                              <a:ea typeface="微软雅黑" panose="020B0503020204020204" pitchFamily="34" charset="-122"/>
                              <a:cs typeface="+mn-ea"/>
                              <a:sym typeface="Arial" panose="020B0604020202020204" pitchFamily="34" charset="0"/>
                            </a:endParaRPr>
                          </a:p>
                        </a:txBody>
                        <a:useSpRect/>
                      </a:txSp>
                    </a:sp>
                    <a:sp>
                      <a:nvSpPr>
                        <a:cNvPr id="30" name="Shape 362"/>
                        <a:cNvSpPr/>
                      </a:nvSpPr>
                      <a:spPr>
                        <a:xfrm>
                          <a:off x="331243" y="202702"/>
                          <a:ext cx="188486" cy="445192"/>
                        </a:xfrm>
                        <a:prstGeom prst="rect">
                          <a:avLst/>
                        </a:prstGeom>
                        <a:noFill/>
                        <a:ln w="12700"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val="1"/>
                          </a:ext>
                        </a:extLst>
                      </a:spPr>
                      <a:txSp>
                        <a:txBody>
                          <a:bodyPr wrap="none" lIns="0" tIns="0" rIns="0" bIns="0" numCol="1" anchor="ctr">
                            <a:sp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lvl="0" algn="ctr">
                              <a:lnSpc>
                                <a:spcPct val="120000"/>
                              </a:lnSpc>
                              <a:defRPr sz="1800" b="0">
                                <a:solidFill>
                                  <a:srgbClr val="000000"/>
                                </a:solidFill>
                              </a:defRPr>
                            </a:pPr>
                            <a:r>
                              <a:rPr sz="1400" dirty="0">
                                <a:solidFill>
                                  <a:schemeClr val="bg1"/>
                                </a:solidFill>
                                <a:latin typeface="Arial" panose="020B0604020202020204" pitchFamily="34" charset="0"/>
                                <a:ea typeface="微软雅黑" panose="020B0503020204020204" pitchFamily="34" charset="-122"/>
                                <a:cs typeface="+mn-ea"/>
                                <a:sym typeface="Arial" panose="020B0604020202020204" pitchFamily="34" charset="0"/>
                              </a:rPr>
                              <a:t>2</a:t>
                            </a:r>
                          </a:p>
                        </a:txBody>
                        <a:useSpRect/>
                      </a:txSp>
                    </a:sp>
                  </a:grpSp>
                  <a:grpSp>
                    <a:nvGrpSpPr>
                      <a:cNvPr id="31" name="Group 366"/>
                      <a:cNvGrpSpPr/>
                    </a:nvGrpSpPr>
                    <a:grpSpPr>
                      <a:xfrm>
                        <a:off x="7068758" y="5525272"/>
                        <a:ext cx="448507" cy="448507"/>
                        <a:chOff x="0" y="0"/>
                        <a:chExt cx="850594" cy="850594"/>
                      </a:xfrm>
                    </a:grpSpPr>
                    <a:sp>
                      <a:nvSpPr>
                        <a:cNvPr id="32" name="Shape 364"/>
                        <a:cNvSpPr/>
                      </a:nvSpPr>
                      <a:spPr>
                        <a:xfrm>
                          <a:off x="0" y="0"/>
                          <a:ext cx="850594" cy="850594"/>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chemeClr val="accent3"/>
                        </a:solidFill>
                        <a:ln w="50800" cap="flat">
                          <a:solidFill>
                            <a:srgbClr val="FBF9FC"/>
                          </a:solidFill>
                          <a:prstDash val="solid"/>
                          <a:miter lim="400000"/>
                        </a:ln>
                        <a:effec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lvl="0" algn="ctr">
                              <a:lnSpc>
                                <a:spcPct val="120000"/>
                              </a:lnSpc>
                              <a:defRPr sz="11200"/>
                            </a:pPr>
                            <a:endParaRPr sz="10900" b="1">
                              <a:solidFill>
                                <a:schemeClr val="bg1"/>
                              </a:solidFill>
                              <a:latin typeface="Arial" panose="020B0604020202020204" pitchFamily="34" charset="0"/>
                              <a:ea typeface="微软雅黑" panose="020B0503020204020204" pitchFamily="34" charset="-122"/>
                              <a:cs typeface="+mn-ea"/>
                              <a:sym typeface="Arial" panose="020B0604020202020204" pitchFamily="34" charset="0"/>
                            </a:endParaRPr>
                          </a:p>
                        </a:txBody>
                        <a:useSpRect/>
                      </a:txSp>
                    </a:sp>
                    <a:sp>
                      <a:nvSpPr>
                        <a:cNvPr id="34" name="Shape 365"/>
                        <a:cNvSpPr/>
                      </a:nvSpPr>
                      <a:spPr>
                        <a:xfrm>
                          <a:off x="331243" y="202702"/>
                          <a:ext cx="188486" cy="445192"/>
                        </a:xfrm>
                        <a:prstGeom prst="rect">
                          <a:avLst/>
                        </a:prstGeom>
                        <a:noFill/>
                        <a:ln w="12700"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val="1"/>
                          </a:ext>
                        </a:extLst>
                      </a:spPr>
                      <a:txSp>
                        <a:txBody>
                          <a:bodyPr wrap="none" lIns="0" tIns="0" rIns="0" bIns="0" numCol="1" anchor="ctr">
                            <a:sp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lvl="0" algn="ctr">
                              <a:lnSpc>
                                <a:spcPct val="120000"/>
                              </a:lnSpc>
                              <a:defRPr sz="1800" b="0">
                                <a:solidFill>
                                  <a:srgbClr val="000000"/>
                                </a:solidFill>
                              </a:defRPr>
                            </a:pPr>
                            <a:r>
                              <a:rPr sz="1400">
                                <a:solidFill>
                                  <a:schemeClr val="bg1"/>
                                </a:solidFill>
                                <a:latin typeface="Arial" panose="020B0604020202020204" pitchFamily="34" charset="0"/>
                                <a:ea typeface="微软雅黑" panose="020B0503020204020204" pitchFamily="34" charset="-122"/>
                                <a:cs typeface="+mn-ea"/>
                                <a:sym typeface="Arial" panose="020B0604020202020204" pitchFamily="34" charset="0"/>
                              </a:rPr>
                              <a:t>3</a:t>
                            </a:r>
                          </a:p>
                        </a:txBody>
                        <a:useSpRect/>
                      </a:txSp>
                    </a:sp>
                  </a:grpSp>
                  <a:grpSp>
                    <a:nvGrpSpPr>
                      <a:cNvPr id="35" name="Group 369"/>
                      <a:cNvGrpSpPr/>
                    </a:nvGrpSpPr>
                    <a:grpSpPr>
                      <a:xfrm>
                        <a:off x="9118942" y="5525272"/>
                        <a:ext cx="448507" cy="448507"/>
                        <a:chOff x="0" y="0"/>
                        <a:chExt cx="850594" cy="850594"/>
                      </a:xfrm>
                      <a:solidFill>
                        <a:srgbClr val="E60000"/>
                      </a:solidFill>
                    </a:grpSpPr>
                    <a:sp>
                      <a:nvSpPr>
                        <a:cNvPr id="38" name="Shape 367"/>
                        <a:cNvSpPr/>
                      </a:nvSpPr>
                      <a:spPr>
                        <a:xfrm>
                          <a:off x="0" y="0"/>
                          <a:ext cx="850594" cy="850594"/>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chemeClr val="accent4"/>
                        </a:solidFill>
                        <a:ln w="50800" cap="flat">
                          <a:solidFill>
                            <a:srgbClr val="FBF9FC"/>
                          </a:solidFill>
                          <a:prstDash val="solid"/>
                          <a:miter lim="400000"/>
                        </a:ln>
                        <a:effec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lvl="0" algn="ctr">
                              <a:lnSpc>
                                <a:spcPct val="120000"/>
                              </a:lnSpc>
                              <a:defRPr sz="11200"/>
                            </a:pPr>
                            <a:endParaRPr sz="10900" b="1">
                              <a:solidFill>
                                <a:schemeClr val="bg1"/>
                              </a:solidFill>
                              <a:latin typeface="Arial" panose="020B0604020202020204" pitchFamily="34" charset="0"/>
                              <a:ea typeface="微软雅黑" panose="020B0503020204020204" pitchFamily="34" charset="-122"/>
                              <a:cs typeface="+mn-ea"/>
                              <a:sym typeface="Arial" panose="020B0604020202020204" pitchFamily="34" charset="0"/>
                            </a:endParaRPr>
                          </a:p>
                        </a:txBody>
                        <a:useSpRect/>
                      </a:txSp>
                    </a:sp>
                    <a:sp>
                      <a:nvSpPr>
                        <a:cNvPr id="39" name="Shape 368"/>
                        <a:cNvSpPr/>
                      </a:nvSpPr>
                      <a:spPr>
                        <a:xfrm>
                          <a:off x="243825" y="114147"/>
                          <a:ext cx="362944" cy="622301"/>
                        </a:xfrm>
                        <a:prstGeom prst="rect">
                          <a:avLst/>
                        </a:prstGeom>
                        <a:noFill/>
                        <a:ln w="12700"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val="1"/>
                          </a:ext>
                        </a:extLst>
                      </a:spPr>
                      <a:txSp>
                        <a:txBody>
                          <a:bodyPr wrap="square" lIns="0" tIns="0" rIns="0" bIns="0" numCol="1" anchor="ctr">
                            <a:noAutofit/>
                          </a:bodyPr>
                          <a:lstStyle>
                            <a:defPPr>
                              <a:defRPr lang="zh-CN"/>
                            </a:defPPr>
                            <a:lvl1pPr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1pPr>
                            <a:lvl2pPr marL="639763" indent="-182563"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2pPr>
                            <a:lvl3pPr marL="1282700" indent="-368300"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3pPr>
                            <a:lvl4pPr marL="1925638" indent="-554038"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4pPr>
                            <a:lvl5pPr marL="2568575" indent="-739775" algn="l" rtl="0" fontAlgn="base">
                              <a:spcBef>
                                <a:spcPct val="0"/>
                              </a:spcBef>
                              <a:spcAft>
                                <a:spcPct val="0"/>
                              </a:spcAft>
                              <a:defRPr kern="1200">
                                <a:solidFill>
                                  <a:schemeClr val="tx1"/>
                                </a:solidFill>
                                <a:latin typeface="Calibri" panose="020F0502020204030204" pitchFamily="34" charset="0"/>
                                <a:ea typeface="宋体" panose="02010600030101010101" pitchFamily="2" charset="-122"/>
                                <a:cs typeface="+mn-cs"/>
                              </a:defRPr>
                            </a:lvl5pPr>
                            <a:lvl6pPr marL="22860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6pPr>
                            <a:lvl7pPr marL="27432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7pPr>
                            <a:lvl8pPr marL="32004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8pPr>
                            <a:lvl9pPr marL="3657600" algn="l" defTabSz="914400" rtl="0" eaLnBrk="1" latinLnBrk="0" hangingPunct="1">
                              <a:defRPr kern="1200">
                                <a:solidFill>
                                  <a:schemeClr val="tx1"/>
                                </a:solidFill>
                                <a:latin typeface="Calibri" panose="020F0502020204030204" pitchFamily="34" charset="0"/>
                                <a:ea typeface="宋体" panose="02010600030101010101" pitchFamily="2" charset="-122"/>
                                <a:cs typeface="+mn-cs"/>
                              </a:defRPr>
                            </a:lvl9pPr>
                          </a:lstStyle>
                          <a:p>
                            <a:pPr lvl="0" algn="ctr">
                              <a:lnSpc>
                                <a:spcPct val="120000"/>
                              </a:lnSpc>
                              <a:defRPr sz="1800" b="0">
                                <a:solidFill>
                                  <a:srgbClr val="000000"/>
                                </a:solidFill>
                              </a:defRPr>
                            </a:pPr>
                            <a:r>
                              <a:rPr sz="1400" dirty="0">
                                <a:solidFill>
                                  <a:schemeClr val="bg1"/>
                                </a:solidFill>
                                <a:latin typeface="Arial" panose="020B0604020202020204" pitchFamily="34" charset="0"/>
                                <a:ea typeface="微软雅黑" panose="020B0503020204020204" pitchFamily="34" charset="-122"/>
                                <a:cs typeface="+mn-ea"/>
                                <a:sym typeface="Arial" panose="020B0604020202020204" pitchFamily="34" charset="0"/>
                              </a:rPr>
                              <a:t>4</a:t>
                            </a:r>
                          </a:p>
                        </a:txBody>
                        <a:useSpRect/>
                      </a:txSp>
                    </a:sp>
                  </a:grpSp>
                </lc:lockedCanvas>
              </a:graphicData>
            </a:graphic>
          </wp:inline>
        </w:drawing>
      </w:r>
    </w:p>
    <w:p w:rsidR="00EC771F" w:rsidRPr="00EC771F" w:rsidRDefault="00EC771F">
      <w:pPr>
        <w:rPr>
          <w:sz w:val="24"/>
          <w:szCs w:val="24"/>
        </w:rPr>
      </w:pPr>
      <w:r w:rsidRPr="00EC771F">
        <w:rPr>
          <w:rFonts w:hint="eastAsia"/>
          <w:sz w:val="24"/>
          <w:szCs w:val="24"/>
        </w:rPr>
        <w:t>（</w:t>
      </w:r>
      <w:r w:rsidRPr="00EC771F">
        <w:rPr>
          <w:rFonts w:hint="eastAsia"/>
          <w:sz w:val="24"/>
          <w:szCs w:val="24"/>
        </w:rPr>
        <w:t>4</w:t>
      </w:r>
      <w:r w:rsidRPr="00EC771F">
        <w:rPr>
          <w:rFonts w:hint="eastAsia"/>
          <w:sz w:val="24"/>
          <w:szCs w:val="24"/>
        </w:rPr>
        <w:t>）退费工作在第二学期进行</w:t>
      </w:r>
      <w:r>
        <w:rPr>
          <w:rFonts w:hint="eastAsia"/>
          <w:sz w:val="24"/>
          <w:szCs w:val="24"/>
        </w:rPr>
        <w:t>（学习中心、函授站应提供退费申请）</w:t>
      </w:r>
      <w:r w:rsidRPr="00EC771F">
        <w:rPr>
          <w:rFonts w:hint="eastAsia"/>
          <w:sz w:val="24"/>
          <w:szCs w:val="24"/>
        </w:rPr>
        <w:t>。</w:t>
      </w:r>
    </w:p>
    <w:p w:rsidR="00F64995" w:rsidRPr="00316A90" w:rsidRDefault="00B4674D" w:rsidP="00F64995">
      <w:pPr>
        <w:rPr>
          <w:b/>
          <w:sz w:val="28"/>
          <w:szCs w:val="28"/>
        </w:rPr>
      </w:pPr>
      <w:r w:rsidRPr="00316A90">
        <w:rPr>
          <w:rFonts w:hint="eastAsia"/>
          <w:b/>
          <w:sz w:val="28"/>
          <w:szCs w:val="28"/>
        </w:rPr>
        <w:t>八</w:t>
      </w:r>
      <w:r w:rsidR="00F64995" w:rsidRPr="00316A90">
        <w:rPr>
          <w:rFonts w:hint="eastAsia"/>
          <w:b/>
          <w:sz w:val="28"/>
          <w:szCs w:val="28"/>
        </w:rPr>
        <w:t>、站点需要做哪些事情？</w:t>
      </w:r>
      <w:r w:rsidR="00F64995" w:rsidRPr="00316A90">
        <w:rPr>
          <w:rFonts w:hint="eastAsia"/>
          <w:b/>
          <w:sz w:val="28"/>
          <w:szCs w:val="28"/>
        </w:rPr>
        <w:t xml:space="preserve"> </w:t>
      </w:r>
    </w:p>
    <w:p w:rsidR="00F64995" w:rsidRPr="00B4674D" w:rsidRDefault="00857D71" w:rsidP="00F64995">
      <w:pPr>
        <w:rPr>
          <w:sz w:val="24"/>
          <w:szCs w:val="24"/>
        </w:rPr>
      </w:pPr>
      <w:r>
        <w:rPr>
          <w:rFonts w:hint="eastAsia"/>
          <w:sz w:val="24"/>
          <w:szCs w:val="24"/>
        </w:rPr>
        <w:t xml:space="preserve">    </w:t>
      </w:r>
      <w:r w:rsidR="00F64995" w:rsidRPr="00B4674D">
        <w:rPr>
          <w:rFonts w:hint="eastAsia"/>
          <w:sz w:val="24"/>
          <w:szCs w:val="24"/>
        </w:rPr>
        <w:t>依据《武汉理工大学继续教育学院学费收缴管理办法》第二章</w:t>
      </w:r>
      <w:r w:rsidR="00F64995" w:rsidRPr="00B4674D">
        <w:rPr>
          <w:rFonts w:hint="eastAsia"/>
          <w:sz w:val="24"/>
          <w:szCs w:val="24"/>
        </w:rPr>
        <w:t xml:space="preserve"> </w:t>
      </w:r>
      <w:r w:rsidR="00F64995" w:rsidRPr="00B4674D">
        <w:rPr>
          <w:rFonts w:hint="eastAsia"/>
          <w:sz w:val="24"/>
          <w:szCs w:val="24"/>
        </w:rPr>
        <w:t>第六条各站点是学费收缴组织实施部门，负责将学院通知传达到每个学生，督促学生按时缴足学费。负责做好学生缴费报表，并协助解决学生缴纳学费中出现的问题。负责做好与继续教育学院、学校财务处核对学费工作。</w:t>
      </w:r>
    </w:p>
    <w:sectPr w:rsidR="00F64995" w:rsidRPr="00B4674D" w:rsidSect="000764C2">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398" w:rsidRDefault="00577398" w:rsidP="00873069">
      <w:r>
        <w:separator/>
      </w:r>
    </w:p>
  </w:endnote>
  <w:endnote w:type="continuationSeparator" w:id="0">
    <w:p w:rsidR="00577398" w:rsidRDefault="00577398" w:rsidP="008730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0270"/>
      <w:docPartObj>
        <w:docPartGallery w:val="Page Numbers (Bottom of Page)"/>
        <w:docPartUnique/>
      </w:docPartObj>
    </w:sdtPr>
    <w:sdtContent>
      <w:sdt>
        <w:sdtPr>
          <w:id w:val="171357217"/>
          <w:docPartObj>
            <w:docPartGallery w:val="Page Numbers (Top of Page)"/>
            <w:docPartUnique/>
          </w:docPartObj>
        </w:sdtPr>
        <w:sdtContent>
          <w:p w:rsidR="00134BC9" w:rsidRDefault="00134BC9">
            <w:pPr>
              <w:pStyle w:val="a6"/>
              <w:jc w:val="center"/>
            </w:pPr>
            <w:r>
              <w:rPr>
                <w:lang w:val="zh-CN"/>
              </w:rPr>
              <w:t xml:space="preserve"> </w:t>
            </w:r>
            <w:r w:rsidR="00FC34FB">
              <w:rPr>
                <w:b/>
                <w:sz w:val="24"/>
                <w:szCs w:val="24"/>
              </w:rPr>
              <w:fldChar w:fldCharType="begin"/>
            </w:r>
            <w:r>
              <w:rPr>
                <w:b/>
              </w:rPr>
              <w:instrText>PAGE</w:instrText>
            </w:r>
            <w:r w:rsidR="00FC34FB">
              <w:rPr>
                <w:b/>
                <w:sz w:val="24"/>
                <w:szCs w:val="24"/>
              </w:rPr>
              <w:fldChar w:fldCharType="separate"/>
            </w:r>
            <w:r w:rsidR="00F40625">
              <w:rPr>
                <w:b/>
                <w:noProof/>
              </w:rPr>
              <w:t>1</w:t>
            </w:r>
            <w:r w:rsidR="00FC34FB">
              <w:rPr>
                <w:b/>
                <w:sz w:val="24"/>
                <w:szCs w:val="24"/>
              </w:rPr>
              <w:fldChar w:fldCharType="end"/>
            </w:r>
            <w:r>
              <w:rPr>
                <w:lang w:val="zh-CN"/>
              </w:rPr>
              <w:t xml:space="preserve"> / </w:t>
            </w:r>
            <w:r w:rsidR="00FC34FB">
              <w:rPr>
                <w:b/>
                <w:sz w:val="24"/>
                <w:szCs w:val="24"/>
              </w:rPr>
              <w:fldChar w:fldCharType="begin"/>
            </w:r>
            <w:r>
              <w:rPr>
                <w:b/>
              </w:rPr>
              <w:instrText>NUMPAGES</w:instrText>
            </w:r>
            <w:r w:rsidR="00FC34FB">
              <w:rPr>
                <w:b/>
                <w:sz w:val="24"/>
                <w:szCs w:val="24"/>
              </w:rPr>
              <w:fldChar w:fldCharType="separate"/>
            </w:r>
            <w:r w:rsidR="00F40625">
              <w:rPr>
                <w:b/>
                <w:noProof/>
              </w:rPr>
              <w:t>3</w:t>
            </w:r>
            <w:r w:rsidR="00FC34FB">
              <w:rPr>
                <w:b/>
                <w:sz w:val="24"/>
                <w:szCs w:val="24"/>
              </w:rPr>
              <w:fldChar w:fldCharType="end"/>
            </w:r>
          </w:p>
        </w:sdtContent>
      </w:sdt>
    </w:sdtContent>
  </w:sdt>
  <w:p w:rsidR="00873069" w:rsidRDefault="008730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398" w:rsidRDefault="00577398" w:rsidP="00873069">
      <w:r>
        <w:separator/>
      </w:r>
    </w:p>
  </w:footnote>
  <w:footnote w:type="continuationSeparator" w:id="0">
    <w:p w:rsidR="00577398" w:rsidRDefault="00577398" w:rsidP="00873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69" w:rsidRDefault="00FC34FB" w:rsidP="00873069">
    <w:pPr>
      <w:pStyle w:val="a5"/>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8158" o:spid="_x0000_s2054" type="#_x0000_t136" style="position:absolute;left:0;text-align:left;margin-left:0;margin-top:0;width:526.9pt;height:58.5pt;rotation:315;z-index:-251654144;mso-position-horizontal:center;mso-position-horizontal-relative:margin;mso-position-vertical:center;mso-position-vertical-relative:margin" o:allowincell="f" fillcolor="silver" stroked="f">
          <v:fill opacity=".5"/>
          <v:textpath style="font-family:&quot;宋体&quot;;font-size:1pt" string="继续教育学院学籍办"/>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69" w:rsidRDefault="00FC34FB" w:rsidP="00873069">
    <w:pPr>
      <w:pStyle w:val="a5"/>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8159" o:spid="_x0000_s2055" type="#_x0000_t136" style="position:absolute;left:0;text-align:left;margin-left:0;margin-top:0;width:526.9pt;height:58.5pt;rotation:315;z-index:-251652096;mso-position-horizontal:center;mso-position-horizontal-relative:margin;mso-position-vertical:center;mso-position-vertical-relative:margin" o:allowincell="f" fillcolor="silver" stroked="f">
          <v:fill opacity=".5"/>
          <v:textpath style="font-family:&quot;宋体&quot;;font-size:1pt" string="继续教育学院学籍办"/>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69" w:rsidRDefault="00FC34F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8157" o:spid="_x0000_s2053" type="#_x0000_t136" style="position:absolute;left:0;text-align:left;margin-left:0;margin-top:0;width:526.9pt;height:58.5pt;rotation:315;z-index:-251656192;mso-position-horizontal:center;mso-position-horizontal-relative:margin;mso-position-vertical:center;mso-position-vertical-relative:margin" o:allowincell="f" fillcolor="silver" stroked="f">
          <v:fill opacity=".5"/>
          <v:textpath style="font-family:&quot;宋体&quot;;font-size:1pt" string="继续教育学院学籍办"/>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1C37"/>
    <w:rsid w:val="000367F2"/>
    <w:rsid w:val="000408E1"/>
    <w:rsid w:val="00046BBF"/>
    <w:rsid w:val="00062736"/>
    <w:rsid w:val="000764C2"/>
    <w:rsid w:val="00080BA5"/>
    <w:rsid w:val="000D55C2"/>
    <w:rsid w:val="00134BC9"/>
    <w:rsid w:val="00176B86"/>
    <w:rsid w:val="001A5757"/>
    <w:rsid w:val="001C1F10"/>
    <w:rsid w:val="00290FA7"/>
    <w:rsid w:val="00316A90"/>
    <w:rsid w:val="00432F13"/>
    <w:rsid w:val="004340AD"/>
    <w:rsid w:val="005007D3"/>
    <w:rsid w:val="00577398"/>
    <w:rsid w:val="00592717"/>
    <w:rsid w:val="005A3C8E"/>
    <w:rsid w:val="005F2D09"/>
    <w:rsid w:val="00614DF6"/>
    <w:rsid w:val="00656C7D"/>
    <w:rsid w:val="006A3AB1"/>
    <w:rsid w:val="00701011"/>
    <w:rsid w:val="00835BDC"/>
    <w:rsid w:val="00857D71"/>
    <w:rsid w:val="00873069"/>
    <w:rsid w:val="00876DF7"/>
    <w:rsid w:val="009A44C7"/>
    <w:rsid w:val="00A844DF"/>
    <w:rsid w:val="00AE1C37"/>
    <w:rsid w:val="00B31DC5"/>
    <w:rsid w:val="00B4674D"/>
    <w:rsid w:val="00B468E1"/>
    <w:rsid w:val="00C1004C"/>
    <w:rsid w:val="00C30DF0"/>
    <w:rsid w:val="00C73F32"/>
    <w:rsid w:val="00CF0688"/>
    <w:rsid w:val="00D34D85"/>
    <w:rsid w:val="00D40DF9"/>
    <w:rsid w:val="00D4356A"/>
    <w:rsid w:val="00D9647A"/>
    <w:rsid w:val="00DD6AA5"/>
    <w:rsid w:val="00E47B79"/>
    <w:rsid w:val="00E84751"/>
    <w:rsid w:val="00EC771F"/>
    <w:rsid w:val="00F014EE"/>
    <w:rsid w:val="00F40625"/>
    <w:rsid w:val="00F64995"/>
    <w:rsid w:val="00F75AFA"/>
    <w:rsid w:val="00F81EC2"/>
    <w:rsid w:val="00F863D3"/>
    <w:rsid w:val="00FC0E66"/>
    <w:rsid w:val="00FC3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4C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C3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863D3"/>
    <w:rPr>
      <w:sz w:val="18"/>
      <w:szCs w:val="18"/>
    </w:rPr>
  </w:style>
  <w:style w:type="character" w:customStyle="1" w:styleId="Char">
    <w:name w:val="批注框文本 Char"/>
    <w:basedOn w:val="a0"/>
    <w:link w:val="a4"/>
    <w:uiPriority w:val="99"/>
    <w:semiHidden/>
    <w:rsid w:val="00F863D3"/>
    <w:rPr>
      <w:sz w:val="18"/>
      <w:szCs w:val="18"/>
    </w:rPr>
  </w:style>
  <w:style w:type="paragraph" w:styleId="a5">
    <w:name w:val="header"/>
    <w:basedOn w:val="a"/>
    <w:link w:val="Char0"/>
    <w:uiPriority w:val="99"/>
    <w:semiHidden/>
    <w:unhideWhenUsed/>
    <w:rsid w:val="008730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73069"/>
    <w:rPr>
      <w:sz w:val="18"/>
      <w:szCs w:val="18"/>
    </w:rPr>
  </w:style>
  <w:style w:type="paragraph" w:styleId="a6">
    <w:name w:val="footer"/>
    <w:basedOn w:val="a"/>
    <w:link w:val="Char1"/>
    <w:uiPriority w:val="99"/>
    <w:unhideWhenUsed/>
    <w:rsid w:val="00873069"/>
    <w:pPr>
      <w:tabs>
        <w:tab w:val="center" w:pos="4153"/>
        <w:tab w:val="right" w:pos="8306"/>
      </w:tabs>
      <w:snapToGrid w:val="0"/>
      <w:jc w:val="left"/>
    </w:pPr>
    <w:rPr>
      <w:sz w:val="18"/>
      <w:szCs w:val="18"/>
    </w:rPr>
  </w:style>
  <w:style w:type="character" w:customStyle="1" w:styleId="Char1">
    <w:name w:val="页脚 Char"/>
    <w:basedOn w:val="a0"/>
    <w:link w:val="a6"/>
    <w:uiPriority w:val="99"/>
    <w:rsid w:val="00873069"/>
    <w:rPr>
      <w:sz w:val="18"/>
      <w:szCs w:val="18"/>
    </w:rPr>
  </w:style>
</w:styles>
</file>

<file path=word/webSettings.xml><?xml version="1.0" encoding="utf-8"?>
<w:webSettings xmlns:r="http://schemas.openxmlformats.org/officeDocument/2006/relationships" xmlns:w="http://schemas.openxmlformats.org/wordprocessingml/2006/main">
  <w:divs>
    <w:div w:id="3750537">
      <w:bodyDiv w:val="1"/>
      <w:marLeft w:val="0"/>
      <w:marRight w:val="0"/>
      <w:marTop w:val="0"/>
      <w:marBottom w:val="0"/>
      <w:divBdr>
        <w:top w:val="none" w:sz="0" w:space="0" w:color="auto"/>
        <w:left w:val="none" w:sz="0" w:space="0" w:color="auto"/>
        <w:bottom w:val="none" w:sz="0" w:space="0" w:color="auto"/>
        <w:right w:val="none" w:sz="0" w:space="0" w:color="auto"/>
      </w:divBdr>
    </w:div>
    <w:div w:id="38869019">
      <w:bodyDiv w:val="1"/>
      <w:marLeft w:val="0"/>
      <w:marRight w:val="0"/>
      <w:marTop w:val="0"/>
      <w:marBottom w:val="0"/>
      <w:divBdr>
        <w:top w:val="none" w:sz="0" w:space="0" w:color="auto"/>
        <w:left w:val="none" w:sz="0" w:space="0" w:color="auto"/>
        <w:bottom w:val="none" w:sz="0" w:space="0" w:color="auto"/>
        <w:right w:val="none" w:sz="0" w:space="0" w:color="auto"/>
      </w:divBdr>
    </w:div>
    <w:div w:id="55247154">
      <w:bodyDiv w:val="1"/>
      <w:marLeft w:val="0"/>
      <w:marRight w:val="0"/>
      <w:marTop w:val="0"/>
      <w:marBottom w:val="0"/>
      <w:divBdr>
        <w:top w:val="none" w:sz="0" w:space="0" w:color="auto"/>
        <w:left w:val="none" w:sz="0" w:space="0" w:color="auto"/>
        <w:bottom w:val="none" w:sz="0" w:space="0" w:color="auto"/>
        <w:right w:val="none" w:sz="0" w:space="0" w:color="auto"/>
      </w:divBdr>
    </w:div>
    <w:div w:id="91245807">
      <w:bodyDiv w:val="1"/>
      <w:marLeft w:val="0"/>
      <w:marRight w:val="0"/>
      <w:marTop w:val="0"/>
      <w:marBottom w:val="0"/>
      <w:divBdr>
        <w:top w:val="none" w:sz="0" w:space="0" w:color="auto"/>
        <w:left w:val="none" w:sz="0" w:space="0" w:color="auto"/>
        <w:bottom w:val="none" w:sz="0" w:space="0" w:color="auto"/>
        <w:right w:val="none" w:sz="0" w:space="0" w:color="auto"/>
      </w:divBdr>
    </w:div>
    <w:div w:id="230967272">
      <w:bodyDiv w:val="1"/>
      <w:marLeft w:val="0"/>
      <w:marRight w:val="0"/>
      <w:marTop w:val="0"/>
      <w:marBottom w:val="0"/>
      <w:divBdr>
        <w:top w:val="none" w:sz="0" w:space="0" w:color="auto"/>
        <w:left w:val="none" w:sz="0" w:space="0" w:color="auto"/>
        <w:bottom w:val="none" w:sz="0" w:space="0" w:color="auto"/>
        <w:right w:val="none" w:sz="0" w:space="0" w:color="auto"/>
      </w:divBdr>
    </w:div>
    <w:div w:id="445201711">
      <w:bodyDiv w:val="1"/>
      <w:marLeft w:val="0"/>
      <w:marRight w:val="0"/>
      <w:marTop w:val="0"/>
      <w:marBottom w:val="0"/>
      <w:divBdr>
        <w:top w:val="none" w:sz="0" w:space="0" w:color="auto"/>
        <w:left w:val="none" w:sz="0" w:space="0" w:color="auto"/>
        <w:bottom w:val="none" w:sz="0" w:space="0" w:color="auto"/>
        <w:right w:val="none" w:sz="0" w:space="0" w:color="auto"/>
      </w:divBdr>
    </w:div>
    <w:div w:id="520094439">
      <w:bodyDiv w:val="1"/>
      <w:marLeft w:val="0"/>
      <w:marRight w:val="0"/>
      <w:marTop w:val="0"/>
      <w:marBottom w:val="0"/>
      <w:divBdr>
        <w:top w:val="none" w:sz="0" w:space="0" w:color="auto"/>
        <w:left w:val="none" w:sz="0" w:space="0" w:color="auto"/>
        <w:bottom w:val="none" w:sz="0" w:space="0" w:color="auto"/>
        <w:right w:val="none" w:sz="0" w:space="0" w:color="auto"/>
      </w:divBdr>
    </w:div>
    <w:div w:id="746850729">
      <w:bodyDiv w:val="1"/>
      <w:marLeft w:val="0"/>
      <w:marRight w:val="0"/>
      <w:marTop w:val="0"/>
      <w:marBottom w:val="0"/>
      <w:divBdr>
        <w:top w:val="none" w:sz="0" w:space="0" w:color="auto"/>
        <w:left w:val="none" w:sz="0" w:space="0" w:color="auto"/>
        <w:bottom w:val="none" w:sz="0" w:space="0" w:color="auto"/>
        <w:right w:val="none" w:sz="0" w:space="0" w:color="auto"/>
      </w:divBdr>
    </w:div>
    <w:div w:id="776830667">
      <w:bodyDiv w:val="1"/>
      <w:marLeft w:val="0"/>
      <w:marRight w:val="0"/>
      <w:marTop w:val="0"/>
      <w:marBottom w:val="0"/>
      <w:divBdr>
        <w:top w:val="none" w:sz="0" w:space="0" w:color="auto"/>
        <w:left w:val="none" w:sz="0" w:space="0" w:color="auto"/>
        <w:bottom w:val="none" w:sz="0" w:space="0" w:color="auto"/>
        <w:right w:val="none" w:sz="0" w:space="0" w:color="auto"/>
      </w:divBdr>
    </w:div>
    <w:div w:id="843280695">
      <w:bodyDiv w:val="1"/>
      <w:marLeft w:val="0"/>
      <w:marRight w:val="0"/>
      <w:marTop w:val="0"/>
      <w:marBottom w:val="0"/>
      <w:divBdr>
        <w:top w:val="none" w:sz="0" w:space="0" w:color="auto"/>
        <w:left w:val="none" w:sz="0" w:space="0" w:color="auto"/>
        <w:bottom w:val="none" w:sz="0" w:space="0" w:color="auto"/>
        <w:right w:val="none" w:sz="0" w:space="0" w:color="auto"/>
      </w:divBdr>
    </w:div>
    <w:div w:id="1229268025">
      <w:bodyDiv w:val="1"/>
      <w:marLeft w:val="0"/>
      <w:marRight w:val="0"/>
      <w:marTop w:val="0"/>
      <w:marBottom w:val="0"/>
      <w:divBdr>
        <w:top w:val="none" w:sz="0" w:space="0" w:color="auto"/>
        <w:left w:val="none" w:sz="0" w:space="0" w:color="auto"/>
        <w:bottom w:val="none" w:sz="0" w:space="0" w:color="auto"/>
        <w:right w:val="none" w:sz="0" w:space="0" w:color="auto"/>
      </w:divBdr>
    </w:div>
    <w:div w:id="1383820527">
      <w:bodyDiv w:val="1"/>
      <w:marLeft w:val="0"/>
      <w:marRight w:val="0"/>
      <w:marTop w:val="0"/>
      <w:marBottom w:val="0"/>
      <w:divBdr>
        <w:top w:val="none" w:sz="0" w:space="0" w:color="auto"/>
        <w:left w:val="none" w:sz="0" w:space="0" w:color="auto"/>
        <w:bottom w:val="none" w:sz="0" w:space="0" w:color="auto"/>
        <w:right w:val="none" w:sz="0" w:space="0" w:color="auto"/>
      </w:divBdr>
    </w:div>
    <w:div w:id="1854492922">
      <w:bodyDiv w:val="1"/>
      <w:marLeft w:val="0"/>
      <w:marRight w:val="0"/>
      <w:marTop w:val="0"/>
      <w:marBottom w:val="0"/>
      <w:divBdr>
        <w:top w:val="none" w:sz="0" w:space="0" w:color="auto"/>
        <w:left w:val="none" w:sz="0" w:space="0" w:color="auto"/>
        <w:bottom w:val="none" w:sz="0" w:space="0" w:color="auto"/>
        <w:right w:val="none" w:sz="0" w:space="0" w:color="auto"/>
      </w:divBdr>
    </w:div>
    <w:div w:id="20482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1DC54-2A25-44B7-A236-2685FCC3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333</Words>
  <Characters>1900</Characters>
  <Application>Microsoft Office Word</Application>
  <DocSecurity>0</DocSecurity>
  <Lines>15</Lines>
  <Paragraphs>4</Paragraphs>
  <ScaleCrop>false</ScaleCrop>
  <Company>Microsoft</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14</cp:revision>
  <cp:lastPrinted>2019-06-21T07:00:00Z</cp:lastPrinted>
  <dcterms:created xsi:type="dcterms:W3CDTF">2020-05-19T08:00:00Z</dcterms:created>
  <dcterms:modified xsi:type="dcterms:W3CDTF">2021-07-02T01:27:00Z</dcterms:modified>
</cp:coreProperties>
</file>